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11B8" w:rsidRPr="005F4580" w:rsidRDefault="001A11B8" w:rsidP="001A11B8">
      <w:pPr>
        <w:pStyle w:val="ContentHeading1"/>
      </w:pPr>
      <w:r>
        <mc:AlternateContent>
          <mc:Choice Requires="wps">
            <w:drawing>
              <wp:anchor distT="0" distB="0" distL="114300" distR="114300" simplePos="0" relativeHeight="251661312" behindDoc="0" locked="0" layoutInCell="1" allowOverlap="1">
                <wp:simplePos x="0" y="0"/>
                <wp:positionH relativeFrom="column">
                  <wp:posOffset>-154940</wp:posOffset>
                </wp:positionH>
                <wp:positionV relativeFrom="paragraph">
                  <wp:posOffset>-1948180</wp:posOffset>
                </wp:positionV>
                <wp:extent cx="5080000" cy="406400"/>
                <wp:effectExtent l="0" t="0" r="0" b="0"/>
                <wp:wrapNone/>
                <wp:docPr id="1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00"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1B8" w:rsidRPr="001A5204" w:rsidRDefault="001A11B8" w:rsidP="001A11B8">
                            <w:pPr>
                              <w:spacing w:after="336"/>
                              <w:rPr>
                                <w:rFonts w:ascii="Gill Sans MT" w:hAnsi="Gill Sans MT"/>
                                <w:b/>
                                <w:color w:val="FFFFFF"/>
                                <w:sz w:val="28"/>
                              </w:rPr>
                            </w:pPr>
                            <w:r w:rsidRPr="001A5204">
                              <w:rPr>
                                <w:rFonts w:ascii="Gill Sans MT" w:hAnsi="Gill Sans MT"/>
                                <w:b/>
                                <w:color w:val="FFFFFF"/>
                                <w:sz w:val="28"/>
                              </w:rPr>
                              <w:t>Population Screening and Cancer Prevention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 o:spid="_x0000_s1026" type="#_x0000_t202" style="position:absolute;margin-left:-12.2pt;margin-top:-153.4pt;width:400pt;height:3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XchtQIAALsFAAAOAAAAZHJzL2Uyb0RvYy54bWysVNuOmzAQfa/Uf7D8znKpQwJastoNoaq0&#10;vUi7/QAHTLAKNrWdwLbqv3dsctutKlVteUD2eHxmzszxXN+MXYv2TGkuRYbDqwAjJkpZcbHN8OfH&#10;wltgpA0VFW2lYBl+YhrfLF+/uh76lEWykW3FFAIQodOhz3BjTJ/6vi4b1lF9JXsm4LCWqqMGtmrr&#10;V4oOgN61fhQEsT9IVfVKlkxrsObTIV46/LpmpflY15oZ1GYYcjPur9x/Y//+8pqmW0X7hpeHNOhf&#10;ZNFRLiDoCSqnhqKd4r9AdbxUUsvaXJWy82Vd85I5DsAmDF6weWhozxwXKI7uT2XS/w+2/LD/pBCv&#10;oHczjATtoEePbDToTo4oim19hl6n4PbQg6MZwQ6+jqvu72X5RSMhVw0VW3arlBwaRivIL7Q3/Yur&#10;E462IJvhvawgDt0Z6YDGWnW2eFAOBOjQp6dTb2wuJRhnwSKAD6MSzkgQE1jbEDQ93u6VNm+Z7JBd&#10;ZFhB7x063d9rM7keXWwwIQvetmCnaSueGQBzskBsuGrPbBaund+TIFkv1gvikSheeyTIc++2WBEv&#10;LsL5LH+Tr1Z5+MPGDUna8KpiwoY5Siskf9a6g8gnUZzEpWXLKwtnU9Jqu1m1Cu0pSLtw36EgF27+&#10;8zRcvYDLC0phRIK7KPGKeDH3SEFmXjIPFl4QJndJHJCE5MVzSvdcsH+nhIYMJ7NoNonpt9xs20/N&#10;vuBG044bGB4t7zLsxHF4zlaCa1G51hrK22l9UQqb/rkU0O5jo51grUYntZpxMwKKVfFGVk8gXSVB&#10;WSBCmHiwaKT6htEA0yPD+uuOKoZR+06A/JOQEDtu3IbM5hFs1OXJ5vKEihKgMmwwmpYrM42oXa/4&#10;toFI04MT8haeTM2dms9ZHR4aTAhH6jDN7Ai63Duv88xd/gQAAP//AwBQSwMEFAAGAAgAAAAhANzD&#10;8KfgAAAADQEAAA8AAABkcnMvZG93bnJldi54bWxMj8FOwzAQRO9I/IO1SNxam5CmJcSpEIgrqIVW&#10;4ubG2yQiXkex24S/Z+ECtx3N0+xMsZ5cJ844hNaThpu5AoFUedtSreH97Xm2AhGiIWs6T6jhCwOs&#10;y8uLwuTWj7TB8zbWgkMo5EZDE2OfSxmqBp0Jc98jsXf0gzOR5VBLO5iRw10nE6Uy6UxL/KExPT42&#10;WH1uT07D7uX4sU/Va/3kFv3oJyXJ3Umtr6+mh3sQEaf4B8NPfa4OJXc6+BPZIDoNsyRNGeXjVmU8&#10;gpHlcpGBOPx6yQpkWcj/K8pvAAAA//8DAFBLAQItABQABgAIAAAAIQC2gziS/gAAAOEBAAATAAAA&#10;AAAAAAAAAAAAAAAAAABbQ29udGVudF9UeXBlc10ueG1sUEsBAi0AFAAGAAgAAAAhADj9If/WAAAA&#10;lAEAAAsAAAAAAAAAAAAAAAAALwEAAF9yZWxzLy5yZWxzUEsBAi0AFAAGAAgAAAAhAKhVdyG1AgAA&#10;uwUAAA4AAAAAAAAAAAAAAAAALgIAAGRycy9lMm9Eb2MueG1sUEsBAi0AFAAGAAgAAAAhANzD8Kfg&#10;AAAADQEAAA8AAAAAAAAAAAAAAAAADwUAAGRycy9kb3ducmV2LnhtbFBLBQYAAAAABAAEAPMAAAAc&#10;BgAAAAA=&#10;" filled="f" stroked="f">
                <v:textbox>
                  <w:txbxContent>
                    <w:p w:rsidR="001A11B8" w:rsidRPr="001A5204" w:rsidRDefault="001A11B8" w:rsidP="001A11B8">
                      <w:pPr>
                        <w:spacing w:after="336"/>
                        <w:rPr>
                          <w:rFonts w:ascii="Gill Sans MT" w:hAnsi="Gill Sans MT"/>
                          <w:b/>
                          <w:color w:val="FFFFFF"/>
                          <w:sz w:val="28"/>
                        </w:rPr>
                      </w:pPr>
                      <w:r w:rsidRPr="001A5204">
                        <w:rPr>
                          <w:rFonts w:ascii="Gill Sans MT" w:hAnsi="Gill Sans MT"/>
                          <w:b/>
                          <w:color w:val="FFFFFF"/>
                          <w:sz w:val="28"/>
                        </w:rPr>
                        <w:t>Population Screening and Cancer Prevention</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4445</wp:posOffset>
                </wp:positionH>
                <wp:positionV relativeFrom="paragraph">
                  <wp:posOffset>-704850</wp:posOffset>
                </wp:positionV>
                <wp:extent cx="6972300" cy="488950"/>
                <wp:effectExtent l="0" t="0" r="0" b="6350"/>
                <wp:wrapNone/>
                <wp:docPr id="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2300" cy="488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1B8" w:rsidRPr="008D7DB9" w:rsidRDefault="001A11B8" w:rsidP="001A11B8">
                            <w:pPr>
                              <w:pStyle w:val="Subtitle"/>
                              <w:spacing w:after="336"/>
                              <w:rPr>
                                <w:b/>
                                <w:sz w:val="40"/>
                              </w:rPr>
                            </w:pPr>
                            <w:r w:rsidRPr="008D7DB9">
                              <w:rPr>
                                <w:b/>
                                <w:sz w:val="40"/>
                              </w:rPr>
                              <w:t>June 2017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7" type="#_x0000_t202" style="position:absolute;margin-left:.35pt;margin-top:-55.5pt;width:549pt;height:3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pKOugIAAMEFAAAOAAAAZHJzL2Uyb0RvYy54bWysVNtunDAQfa/Uf7D8TrjUywIKGyXLUlVK&#10;L1LSD/CCWayCTW3vsmnVf+/Y7C3JS9WWB2R7xmfOzBzP9c2+79COKc2lyHF4FWDERCVrLjY5/vpY&#10;eglG2lBR004KluMnpvHN4u2b63HIWCRb2dVMIQAROhuHHLfGDJnv66plPdVXcmACjI1UPTWwVRu/&#10;VnQE9L7zoyCI/VGqelCyYlrDaTEZ8cLhNw2rzOem0cygLsfAzbi/cv+1/fuLa5ptFB1aXh1o0L9g&#10;0VMuIOgJqqCGoq3ir6B6XimpZWOuKtn7sml4xVwOkE0YvMjmoaUDc7lAcfRwKpP+f7DVp90XhXid&#10;4zlGgvbQoke2N+hO7lEU2/KMg87A62EAP7OHc2izS1UP97L6ppGQy5aKDbtVSo4tozXQC+1N/+Lq&#10;hKMtyHr8KGuIQ7dGOqB9o3pbO6gGAnRo09OpNZZLBYdxOo/eBWCqwEaSJJ253vk0O94elDbvmeyR&#10;XeRYQesdOt3da2PZ0OzoYoMJWfKuc+3vxLMDcJxOIDZctTbLwnXzZxqkq2SVEI9E8cojQVF4t+WS&#10;eHEZzmfFu2K5LMJfNm5IspbXNRM2zFFZIfmzzh00PmnipC0tO15bOEtJq8162Sm0o6Ds0n2u5mA5&#10;u/nPabgiQC4vUgojEtxFqVfGydwjJZl56TxIvCBM79I4ICkpyucp3XPB/j0lNOY4nUWzSUxn0i9y&#10;C9z3Ojea9dzA7Oh4n+Pk5EQzK8GVqF1rDeXdtL4ohaV/LgW0+9hoJ1ir0UmtZr/eu6fh1GzFvJb1&#10;EyhYSRAYaBHmHixaqX5gNMIMybH+vqWKYdR9EPAK0pAQO3TchszmEWzUpWV9aaGiAqgcG4ym5dJM&#10;g2o7KL5pIdL07oS8hZfTcCfqM6vDe4M54XI7zDQ7iC73zus8eRe/AQAA//8DAFBLAwQUAAYACAAA&#10;ACEAYt5cjN0AAAAKAQAADwAAAGRycy9kb3ducmV2LnhtbEyPzU7DMBCE70i8g7VI3Fo7UKAN2VQI&#10;xBXU8iNxc+NtEhGvo9htwtuzPcFxZ0az3xTryXfqSENsAyNkcwOKuAqu5Rrh/e15tgQVk2Vnu8CE&#10;8EMR1uX5WWFzF0be0HGbaiUlHHOL0KTU51rHqiFv4zz0xOLtw+BtknOotRvsKOW+01fG3GpvW5YP&#10;je3psaHqe3vwCB8v+6/PhXmtn/xNP4bJaPYrjXh5MT3cg0o0pb8wnPAFHUph2oUDu6g6hDvJIcyy&#10;LJNJJ9+slqLtRLteGNBlof9PKH8BAAD//wMAUEsBAi0AFAAGAAgAAAAhALaDOJL+AAAA4QEAABMA&#10;AAAAAAAAAAAAAAAAAAAAAFtDb250ZW50X1R5cGVzXS54bWxQSwECLQAUAAYACAAAACEAOP0h/9YA&#10;AACUAQAACwAAAAAAAAAAAAAAAAAvAQAAX3JlbHMvLnJlbHNQSwECLQAUAAYACAAAACEA7Q6SjroC&#10;AADBBQAADgAAAAAAAAAAAAAAAAAuAgAAZHJzL2Uyb0RvYy54bWxQSwECLQAUAAYACAAAACEAYt5c&#10;jN0AAAAKAQAADwAAAAAAAAAAAAAAAAAUBQAAZHJzL2Rvd25yZXYueG1sUEsFBgAAAAAEAAQA8wAA&#10;AB4GAAAAAA==&#10;" filled="f" stroked="f">
                <v:textbox>
                  <w:txbxContent>
                    <w:p w:rsidR="001A11B8" w:rsidRPr="008D7DB9" w:rsidRDefault="001A11B8" w:rsidP="001A11B8">
                      <w:pPr>
                        <w:pStyle w:val="Subtitle"/>
                        <w:spacing w:after="336"/>
                        <w:rPr>
                          <w:b/>
                          <w:sz w:val="40"/>
                        </w:rPr>
                      </w:pPr>
                      <w:r w:rsidRPr="008D7DB9">
                        <w:rPr>
                          <w:b/>
                          <w:sz w:val="40"/>
                        </w:rPr>
                        <w:t>June 2017</w:t>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15240</wp:posOffset>
                </wp:positionH>
                <wp:positionV relativeFrom="paragraph">
                  <wp:posOffset>-1707515</wp:posOffset>
                </wp:positionV>
                <wp:extent cx="6972300" cy="1123950"/>
                <wp:effectExtent l="0" t="0" r="0" b="0"/>
                <wp:wrapNone/>
                <wp:docPr id="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2300" cy="1123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1B8" w:rsidRPr="008D7DB9" w:rsidRDefault="001A11B8" w:rsidP="001A11B8">
                            <w:pPr>
                              <w:pStyle w:val="Title"/>
                              <w:spacing w:after="336"/>
                              <w:rPr>
                                <w:sz w:val="32"/>
                              </w:rPr>
                            </w:pPr>
                            <w:r w:rsidRPr="008D7DB9">
                              <w:rPr>
                                <w:sz w:val="44"/>
                              </w:rPr>
                              <w:t>The National Bowel Cancer</w:t>
                            </w:r>
                            <w:r w:rsidRPr="008D7DB9">
                              <w:rPr>
                                <w:sz w:val="44"/>
                              </w:rPr>
                              <w:br/>
                              <w:t xml:space="preserve"> Screening Program (NBCSP) – Status Update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8" type="#_x0000_t202" style="position:absolute;margin-left:1.2pt;margin-top:-134.45pt;width:549pt;height:8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HbbuwIAAMIFAAAOAAAAZHJzL2Uyb0RvYy54bWysVMlu2zAQvRfoPxC8K1pCy5YQuUgsqyiQ&#10;LkDSD6AlyiIqkSpJW0qL/nuHlLckl6ItDwTJGb7Z3szNu7Fr0Z4pzaXIcHgVYMREKSsuthn++lh4&#10;C4y0oaKirRQsw09M43fLt29uhj5lkWxkWzGFAETodOgz3BjTp76vy4Z1VF/JngkQ1lJ11MBVbf1K&#10;0QHQu9aPgiD2B6mqXsmSaQ2v+STES4df16w0n+taM4PaDINvxu3K7Ru7+8sbmm4V7RteHtygf+FF&#10;R7kAoyeonBqKdoq/gup4qaSWtbkqZefLuuYlczFANGHwIpqHhvbMxQLJ0f0pTfr/wZaf9l8U4lWG&#10;Y4wE7aBEj2w06E6OKIpteoZep6D10IOeGeEdyuxC1f29LL9pJOSqoWLLbpWSQ8NoBe6F9qd/8XXC&#10;0RZkM3yUFdihOyMd0FirzuYOsoEAHcr0dCqN9aWExziZR9cBiEqQhWF0ncxc8XyaHr/3Spv3THbI&#10;HjKsoPYOnu7vtbHu0PSoYq0JWfC2dfVvxbMHUJxewDh8tTLrhivnzyRI1ov1gngkitceCfLcuy1W&#10;xIuLcD7Lr/PVKg9/WbshSRteVUxYM0dqheTPSncg+USKE7m0bHll4axLWm03q1ahPQVqF265pIPk&#10;rOY/d8MlAWJ5EVIYkeAuSrwiXsw9UpCZl8yDhReEyV0SByQhefE8pHsu2L+HhIYMJ7NoNrHp7PSL&#10;2AK3XsdG044bGB4t7zK8OCnR1HJwLSpXWkN5O50vUmHdP6cCyn0stGOsJelEVzNuRtcb0bERNrJ6&#10;AgorCQQDMsLgg0Mj1Q+MBhgiGdbfd1QxjNoPAtogCQmxU8ddyGwewUVdSjaXEipKgMqwwWg6rsw0&#10;qXa94tsGLE2NJ+QttE7NHaltj01eHRoOBoWL7TDU7CS6vDut8+hd/gYAAP//AwBQSwMEFAAGAAgA&#10;AAAhAEci9VDeAAAACwEAAA8AAABkcnMvZG93bnJldi54bWxMj01PwzAMhu9I/IfISNy2pNWY1tJ0&#10;moa4gtgHEres8dqKxqmabC3/Hu8ER79+9PpxsZ5cJ644hNaThmSuQCBV3rZUazjsX2crECEasqbz&#10;hBp+MMC6vL8rTG79SB943cVacAmF3GhoYuxzKUPVoDNh7nsk3p394EzkcailHczI5a6TqVJL6UxL&#10;fKExPW4brL53F6fh+Hb++lyo9/rFPfWjn5Qkl0mtHx+mzTOIiFP8g+Gmz+pQstPJX8gG0WlIFwxq&#10;mKXLVQbiBiRKcXbiLEsykGUh//9Q/gIAAP//AwBQSwECLQAUAAYACAAAACEAtoM4kv4AAADhAQAA&#10;EwAAAAAAAAAAAAAAAAAAAAAAW0NvbnRlbnRfVHlwZXNdLnhtbFBLAQItABQABgAIAAAAIQA4/SH/&#10;1gAAAJQBAAALAAAAAAAAAAAAAAAAAC8BAABfcmVscy8ucmVsc1BLAQItABQABgAIAAAAIQCbLHbb&#10;uwIAAMIFAAAOAAAAAAAAAAAAAAAAAC4CAABkcnMvZTJvRG9jLnhtbFBLAQItABQABgAIAAAAIQBH&#10;IvVQ3gAAAAsBAAAPAAAAAAAAAAAAAAAAABUFAABkcnMvZG93bnJldi54bWxQSwUGAAAAAAQABADz&#10;AAAAIAYAAAAA&#10;" filled="f" stroked="f">
                <v:textbox>
                  <w:txbxContent>
                    <w:p w:rsidR="001A11B8" w:rsidRPr="008D7DB9" w:rsidRDefault="001A11B8" w:rsidP="001A11B8">
                      <w:pPr>
                        <w:pStyle w:val="Title"/>
                        <w:spacing w:after="336"/>
                        <w:rPr>
                          <w:sz w:val="32"/>
                        </w:rPr>
                      </w:pPr>
                      <w:r w:rsidRPr="008D7DB9">
                        <w:rPr>
                          <w:sz w:val="44"/>
                        </w:rPr>
                        <w:t>The National Bowel Cancer</w:t>
                      </w:r>
                      <w:r w:rsidRPr="008D7DB9">
                        <w:rPr>
                          <w:sz w:val="44"/>
                        </w:rPr>
                        <w:br/>
                        <w:t xml:space="preserve"> Screening Program (NBCSP) – Status Update</w:t>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72390</wp:posOffset>
                </wp:positionH>
                <wp:positionV relativeFrom="paragraph">
                  <wp:posOffset>-3491230</wp:posOffset>
                </wp:positionV>
                <wp:extent cx="6908800" cy="508000"/>
                <wp:effectExtent l="0" t="0" r="0" b="6350"/>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8800" cy="50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1B8" w:rsidRDefault="001A11B8" w:rsidP="001A11B8">
                            <w:pPr>
                              <w:pStyle w:val="UnitName"/>
                              <w:spacing w:after="336"/>
                              <w:ind w:left="0"/>
                            </w:pPr>
                            <w:r>
                              <w:t>Insert Unit Name</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29" type="#_x0000_t202" style="position:absolute;margin-left:5.7pt;margin-top:-274.9pt;width:544pt;height:4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vRevgIAAL0FAAAOAAAAZHJzL2Uyb0RvYy54bWysVNtunDAQfa/Uf7D8TrjE7AIKGyXLUlVK&#10;L1LSD/CCWayCTW3vsmnVf+/Y7C3pS9WWB2R77DOXc2Zubvd9h3ZMaS5FjsOrACMmKllzscnxl6fS&#10;SzDShoqadlKwHD8zjW8Xb9/cjEPGItnKrmYKAYjQ2TjkuDVmyHxfVy3rqb6SAxNgbKTqqYGt2vi1&#10;oiOg950fBcHMH6WqByUrpjWcFpMRLxx+07DKfGoazQzqcgyxGfdX7r+2f39xQ7ONokPLq0MY9C+i&#10;6CkX4PQEVVBD0Vbx36B6XimpZWOuKtn7sml4xVwOkE0YvMrmsaUDc7lAcfRwKpP+f7DVx91nhXid&#10;4xgjQXug6IntDbqXexTNbXnGQWdw63GAe2YP50CzS1UPD7L6qpGQy5aKDbtTSo4tozWEF9qX/sXT&#10;CUdbkPX4Qdbgh26NdED7RvW2dlANBOhA0/OJGhtLBYezNEiSAEwV2OIAlo47n2bH14PS5h2TPbKL&#10;HCug3qHT3YM2NhqaHa9YZ0KWvOsc/Z14cQAXpxPwDU+tzUbh2PyRBukqWSXEI9Fs5ZGgKLy7ckm8&#10;WRnO4+K6WC6L8Kf1G5Ks5XXNhHVzVFZI/oy5g8YnTZy0pWXHawtnQ9Jqs152Cu0oKLt0n6s5WM7X&#10;/JdhuCJALq9SCiMS3EepV86SuUdKEnvpPEi8IEzv01lAUlKUL1N64IL9e0pozHEaR/EkpnPQr3ID&#10;ps9kX+RGs54bmB0d73Ns9TApgmZWgitRO2oN5d20viiFDf9cCqD7SLQTrNXopFazX+9da1wf+2At&#10;62dQsJIgMNAizD1YtFJ9x2iEGZJj/W1LFcOoey+gC+zAcQsSzyPYKLdJQ0Jgs760UFEBTI4NRtNy&#10;aaYhtR0U37TgZeo5Ie+gaxruBG3ba4ro0GswI1xeh3lmh9Dl3t06T93FLwAAAP//AwBQSwMEFAAG&#10;AAgAAAAhAE2/06rgAAAADQEAAA8AAABkcnMvZG93bnJldi54bWxMj8FOwzAQRO9I/IO1SNxapxAq&#10;EuJUCKkHikDQ9gM2sRtHjdchdpvw92xPcJzZ0eybYjW5TpzNEFpPChbzBISh2uuWGgX73Xr2CCJE&#10;JI2dJ6PgxwRYlddXBebaj/RlztvYCC6hkKMCG2OfSxlqaxyGue8N8e3gB4eR5dBIPeDI5a6Td0my&#10;lA5b4g8We/NiTX3cnpyC9/XH22s2bXYVtpvRf3/e7+1ISt3eTM9PIKKZ4l8YLviMDiUzVf5EOoiO&#10;9SLlpILZQ5rxhksiyTL2KvbSJXuyLOT/FeUvAAAA//8DAFBLAQItABQABgAIAAAAIQC2gziS/gAA&#10;AOEBAAATAAAAAAAAAAAAAAAAAAAAAABbQ29udGVudF9UeXBlc10ueG1sUEsBAi0AFAAGAAgAAAAh&#10;ADj9If/WAAAAlAEAAAsAAAAAAAAAAAAAAAAALwEAAF9yZWxzLy5yZWxzUEsBAi0AFAAGAAgAAAAh&#10;ALke9F6+AgAAvQUAAA4AAAAAAAAAAAAAAAAALgIAAGRycy9lMm9Eb2MueG1sUEsBAi0AFAAGAAgA&#10;AAAhAE2/06rgAAAADQEAAA8AAAAAAAAAAAAAAAAAGAUAAGRycy9kb3ducmV2LnhtbFBLBQYAAAAA&#10;BAAEAPMAAAAlBgAAAAA=&#10;" filled="f" stroked="f">
                <v:textbox inset="0">
                  <w:txbxContent>
                    <w:p w:rsidR="001A11B8" w:rsidRDefault="001A11B8" w:rsidP="001A11B8">
                      <w:pPr>
                        <w:pStyle w:val="UnitName"/>
                        <w:spacing w:after="336"/>
                        <w:ind w:left="0"/>
                      </w:pPr>
                      <w:r>
                        <w:t>Insert Unit Name</w:t>
                      </w:r>
                    </w:p>
                  </w:txbxContent>
                </v:textbox>
              </v:shape>
            </w:pict>
          </mc:Fallback>
        </mc:AlternateContent>
      </w:r>
      <w:r>
        <w:t>Bowel Cancer in Tasmania</w:t>
      </w:r>
    </w:p>
    <w:p w:rsidR="001A11B8" w:rsidRPr="00F75815" w:rsidRDefault="001A11B8" w:rsidP="001A11B8">
      <w:pPr>
        <w:pStyle w:val="BodyTextFirstIndent"/>
      </w:pPr>
      <w:r w:rsidRPr="00F75815">
        <w:t xml:space="preserve">In 2013, there were 439 new cases and 155 deaths from bowel cancer in Tasmania. Encouraging your patients to screen regularly means bowel cancers can be prevented or diagnosed in its earliest stages to improve treatment outcomes.  </w:t>
      </w:r>
      <w:r w:rsidRPr="00EB39BF">
        <w:rPr>
          <w:i/>
        </w:rPr>
        <w:t>(Stokes, B, Albion, T, Otahal, P, Venn, A, Cancer in Tasmania: Incidence and Mortality 2013, Menzies Research Institute Tasmania, Hobart, December 2015)</w:t>
      </w:r>
    </w:p>
    <w:p w:rsidR="001A11B8" w:rsidRPr="00F75815" w:rsidRDefault="001A11B8" w:rsidP="001A11B8">
      <w:pPr>
        <w:pStyle w:val="BodyTextFirstIndent"/>
      </w:pPr>
      <w:r w:rsidRPr="00F75815">
        <w:t>The five year survival rate for bowel cancer in Tasmania is only 61.6%. This is because of the late stage diagnosis.</w:t>
      </w:r>
      <w:r>
        <w:t xml:space="preserve"> </w:t>
      </w:r>
      <w:r w:rsidRPr="00F75815">
        <w:t xml:space="preserve">Compared to other commonly diagnosed cancers such as breast, prostate and melanoma of the skin, bowel cancer has the lowest 5-year survival rate. </w:t>
      </w:r>
      <w:r w:rsidRPr="0054772B">
        <w:rPr>
          <w:i/>
        </w:rPr>
        <w:t>(Tasmanian Cancer Registry 2012, Cancer Survival and Prevalence Tasmania 1978-2008, Menzies Research Institute of Tasmania, viewed March 2017)</w:t>
      </w:r>
    </w:p>
    <w:p w:rsidR="001A11B8" w:rsidRPr="00F75815" w:rsidRDefault="001A11B8" w:rsidP="001A11B8">
      <w:pPr>
        <w:pStyle w:val="BodyTextFirstIndent"/>
      </w:pPr>
      <w:r w:rsidRPr="00F75815">
        <w:t xml:space="preserve">93% of patients with Stage IV bowel cancer will not survive 5 years.  </w:t>
      </w:r>
      <w:r w:rsidRPr="00EB39BF">
        <w:t>(Australian Bureau of Statistics (ABS) 2005, Australian Social Trends 2005, cat. no. 4102.0, ABS, Canberra, viewed March 2017)</w:t>
      </w:r>
    </w:p>
    <w:p w:rsidR="001A11B8" w:rsidRPr="00F75815" w:rsidRDefault="001A11B8" w:rsidP="001A11B8">
      <w:pPr>
        <w:pStyle w:val="Body"/>
        <w:sectPr w:rsidR="001A11B8" w:rsidRPr="00F75815" w:rsidSect="007C0BFC">
          <w:headerReference w:type="even" r:id="rId8"/>
          <w:headerReference w:type="default" r:id="rId9"/>
          <w:footerReference w:type="even" r:id="rId10"/>
          <w:footerReference w:type="default" r:id="rId11"/>
          <w:headerReference w:type="first" r:id="rId12"/>
          <w:footerReference w:type="first" r:id="rId13"/>
          <w:pgSz w:w="11906" w:h="16838" w:code="9"/>
          <w:pgMar w:top="-3261" w:right="686" w:bottom="2336" w:left="561" w:header="0" w:footer="0" w:gutter="0"/>
          <w:cols w:space="708"/>
          <w:titlePg/>
          <w:docGrid w:linePitch="360"/>
        </w:sectPr>
      </w:pPr>
      <w:r w:rsidRPr="00293666">
        <w:br/>
      </w:r>
    </w:p>
    <w:p w:rsidR="001A11B8" w:rsidRPr="00557E28" w:rsidRDefault="001A11B8" w:rsidP="001A11B8">
      <w:pPr>
        <w:pStyle w:val="ContentHeading1"/>
      </w:pPr>
      <w:r>
        <w:lastRenderedPageBreak/>
        <w:t>Survival</w:t>
      </w:r>
    </w:p>
    <w:p w:rsidR="001A11B8" w:rsidRPr="00D745A5" w:rsidRDefault="001A11B8" w:rsidP="001A11B8">
      <w:pPr>
        <w:pStyle w:val="Body"/>
        <w:rPr>
          <w:noProof/>
          <w:sz w:val="40"/>
          <w:lang w:val="en-AU"/>
        </w:rPr>
      </w:pPr>
      <w:r w:rsidRPr="00557E28">
        <w:t>Screening with an iFOBT can detect precancerous lesions preventing the development of bowel cancer</w:t>
      </w:r>
      <w:r>
        <w:t>.</w:t>
      </w:r>
      <w:r w:rsidRPr="00D745A5">
        <w:rPr>
          <w:rFonts w:ascii="Times New Roman" w:hAnsi="Times New Roman"/>
          <w:noProof/>
          <w:color w:val="auto"/>
          <w:sz w:val="24"/>
          <w:lang w:val="en-AU"/>
        </w:rPr>
        <w:t xml:space="preserve"> </w:t>
      </w:r>
      <w:r>
        <w:rPr>
          <w:rFonts w:ascii="Times New Roman" w:hAnsi="Times New Roman"/>
          <w:noProof/>
          <w:color w:val="auto"/>
          <w:sz w:val="24"/>
          <w:lang w:val="en-AU"/>
        </w:rPr>
        <w:br/>
      </w:r>
      <w:r>
        <w:rPr>
          <w:rFonts w:ascii="Times New Roman" w:hAnsi="Times New Roman"/>
          <w:noProof/>
          <w:color w:val="auto"/>
          <w:sz w:val="24"/>
          <w:lang w:val="en-AU"/>
        </w:rPr>
        <w:br/>
      </w:r>
      <w:r>
        <w:rPr>
          <w:noProof/>
          <w:lang w:val="en-AU"/>
        </w:rPr>
        <w:drawing>
          <wp:inline distT="0" distB="0" distL="0" distR="0" wp14:anchorId="40D6CA10" wp14:editId="0B12AEC4">
            <wp:extent cx="2181352" cy="2191385"/>
            <wp:effectExtent l="0" t="0" r="9525" b="0"/>
            <wp:docPr id="10" name="Picture 2" descr="Light blue circle with one small triangle wedge in dark blue.  Diagram portrays, and has text which says, &quot;up to 90% of bowel cancers can be treated successfully if detected in the earliest stages&quot;." title="Bowel Cancer Survival Pi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Light blue circle with one small triangle wedge in dark blue.  Diagram portrays, and has text which says, &quot;up to 90% of bowel cancers can be treated successfully if detected in the earliest stages&quot;." title="Bowel Cancer Survival Pie Char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5567" t="10937" r="20424" b="14286"/>
                    <a:stretch/>
                  </pic:blipFill>
                  <pic:spPr bwMode="auto">
                    <a:xfrm>
                      <a:off x="0" y="0"/>
                      <a:ext cx="2181225" cy="2191385"/>
                    </a:xfrm>
                    <a:prstGeom prst="rect">
                      <a:avLst/>
                    </a:prstGeom>
                    <a:noFill/>
                    <a:ln>
                      <a:noFill/>
                    </a:ln>
                    <a:effectLst/>
                    <a:extLst/>
                  </pic:spPr>
                </pic:pic>
              </a:graphicData>
            </a:graphic>
          </wp:inline>
        </w:drawing>
      </w:r>
      <w:r>
        <w:br w:type="column"/>
      </w:r>
      <w:r w:rsidRPr="00F75815">
        <w:rPr>
          <w:b/>
          <w:noProof/>
          <w:sz w:val="40"/>
          <w:szCs w:val="40"/>
          <w:lang w:val="en-AU"/>
        </w:rPr>
        <w:lastRenderedPageBreak/>
        <w:t>Key Facts</w:t>
      </w:r>
    </w:p>
    <w:p w:rsidR="001A11B8" w:rsidRDefault="001A11B8" w:rsidP="001A11B8">
      <w:pPr>
        <w:pStyle w:val="BodyTextFirstIndent"/>
      </w:pPr>
      <w:r>
        <w:t>The NHMRC recommends that all Australians aged 50 to 74 years should have an iFOBT every 2 years.</w:t>
      </w:r>
    </w:p>
    <w:p w:rsidR="001A11B8" w:rsidRDefault="001A11B8" w:rsidP="001A11B8">
      <w:pPr>
        <w:pStyle w:val="BodyTextFirstIndent"/>
      </w:pPr>
      <w:r>
        <w:t>By 2020, the NBCSP will be inviting all eligible 50-74 year olds every 2 years.</w:t>
      </w:r>
    </w:p>
    <w:p w:rsidR="001A11B8" w:rsidRDefault="001A11B8" w:rsidP="001A11B8">
      <w:pPr>
        <w:pStyle w:val="BodyTextFirstIndent"/>
      </w:pPr>
      <w:r>
        <w:t>You should refer all NBCSP participants with a positive iFOBT to colonoscopy as a Category One patient.</w:t>
      </w:r>
    </w:p>
    <w:p w:rsidR="001A11B8" w:rsidRDefault="001A11B8" w:rsidP="001A11B8">
      <w:pPr>
        <w:pStyle w:val="BodyTextFirstIndent"/>
      </w:pPr>
      <w:r>
        <w:t>Your patients with a positive NBCSP screening test should not be referred for another FOBT.</w:t>
      </w:r>
    </w:p>
    <w:p w:rsidR="001A11B8" w:rsidRDefault="001A11B8" w:rsidP="001A11B8">
      <w:pPr>
        <w:pStyle w:val="BodyTextFirstIndent"/>
        <w:sectPr w:rsidR="001A11B8" w:rsidSect="007C0BFC">
          <w:type w:val="continuous"/>
          <w:pgSz w:w="11906" w:h="16838" w:code="9"/>
          <w:pgMar w:top="-707" w:right="686" w:bottom="2336" w:left="561" w:header="0" w:footer="0" w:gutter="0"/>
          <w:cols w:num="2" w:space="411"/>
          <w:titlePg/>
          <w:docGrid w:linePitch="360"/>
        </w:sectPr>
      </w:pPr>
      <w:r>
        <w:t>There is a 30-50% probability that patients with a positive iFOBT will have a neoplastic lesion, adenoma or polyp (high Positive Predictive Value)</w:t>
      </w:r>
    </w:p>
    <w:p w:rsidR="001A11B8" w:rsidRDefault="001A11B8" w:rsidP="001A11B8">
      <w:pPr>
        <w:pStyle w:val="ContentHeading1"/>
      </w:pPr>
      <w:r>
        <w:lastRenderedPageBreak/>
        <w:br/>
        <w:t>Clinical Guidelines</w:t>
      </w:r>
    </w:p>
    <w:p w:rsidR="001A11B8" w:rsidRPr="001A5204" w:rsidRDefault="001A11B8" w:rsidP="001A11B8">
      <w:pPr>
        <w:pStyle w:val="Body"/>
        <w:rPr>
          <w:color w:val="404040"/>
        </w:rPr>
      </w:pPr>
      <w:r>
        <w:rPr>
          <w:noProof/>
          <w:lang w:val="en-AU"/>
        </w:rPr>
        <mc:AlternateContent>
          <mc:Choice Requires="wps">
            <w:drawing>
              <wp:anchor distT="0" distB="0" distL="114300" distR="114300" simplePos="0" relativeHeight="251663360" behindDoc="0" locked="0" layoutInCell="1" allowOverlap="1">
                <wp:simplePos x="0" y="0"/>
                <wp:positionH relativeFrom="column">
                  <wp:posOffset>4445</wp:posOffset>
                </wp:positionH>
                <wp:positionV relativeFrom="paragraph">
                  <wp:posOffset>1119505</wp:posOffset>
                </wp:positionV>
                <wp:extent cx="3556635" cy="522605"/>
                <wp:effectExtent l="0" t="0" r="5715" b="10795"/>
                <wp:wrapThrough wrapText="bothSides">
                  <wp:wrapPolygon edited="0">
                    <wp:start x="0" y="0"/>
                    <wp:lineTo x="0" y="21259"/>
                    <wp:lineTo x="21519" y="21259"/>
                    <wp:lineTo x="21519" y="0"/>
                    <wp:lineTo x="0" y="0"/>
                  </wp:wrapPolygon>
                </wp:wrapThrough>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635" cy="522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1B8" w:rsidRDefault="001A11B8" w:rsidP="001A11B8">
                            <w:pPr>
                              <w:spacing w:after="336"/>
                              <w:rPr>
                                <w:rFonts w:ascii="Gill Sans MT" w:hAnsi="Gill Sans MT"/>
                                <w:spacing w:val="20"/>
                              </w:rPr>
                            </w:pPr>
                            <w:r>
                              <w:rPr>
                                <w:rFonts w:ascii="Gill Sans MT" w:hAnsi="Gill Sans MT"/>
                                <w:spacing w:val="20"/>
                              </w:rPr>
                              <w:t>www.ths.tas.gov.au/cancerscreening</w:t>
                            </w:r>
                          </w:p>
                        </w:txbxContent>
                      </wps:txbx>
                      <wps:bodyPr rot="0" vert="horz" wrap="square" lIns="0" tIns="0" rIns="0" bIns="0" anchor="b"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30" type="#_x0000_t202" style="position:absolute;left:0;text-align:left;margin-left:.35pt;margin-top:88.15pt;width:280.05pt;height:41.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80dsAIAALAFAAAOAAAAZHJzL2Uyb0RvYy54bWysVG1vmzAQ/j5p/8Hyd8pLgQZUUrUhTJO6&#10;F6ndDzBggjWwme2EdNP++84mpEmrSdM2PliHfX7unrvHd32z7zu0o1IxwTPsX3gYUV6JmvFNhr88&#10;Fs4CI6UJr0knOM3wE1X4Zvn2zfU4pDQQrehqKhGAcJWOQ4ZbrYfUdVXV0p6oCzFQDoeNkD3R8Cs3&#10;bi3JCOh95waeF7ujkPUgRUWVgt18OsRLi980tNKfmkZRjboMQ27artKupVnd5TVJN5IMLasOaZC/&#10;yKInjEPQI1RONEFbyV5B9aySQolGX1Sid0XTsIpaDsDG916weWjJQC0XKI4ajmVS/w+2+rj7LBGr&#10;MxxixEkPLXqke43uxB4FpjrjoFJwehjATe9hG7psmarhXlRfFeJi1RK+obdSirGlpIbsfHPTPbk6&#10;4SgDUo4fRA1hyFYLC7RvZG9KB8VAgA5dejp2xqRSweZlFMXxZYRRBWdREMReZEOQdL49SKXfUdEj&#10;Y2RYQuctOtndK22yIensYoJxUbCus93v+NkGOE47EBuumjOThW3mj8RL1ov1InTCIF47oZfnzm2x&#10;Cp248K+i/DJfrXL/p4nrh2nL6ppyE2YWlh/+WeMOEp8kcZSWEh2rDZxJSclNueok2hEQdmG/Q0FO&#10;3NzzNGwRgMsLSn4QendB4hTx4soJizBykitv4Xh+cpfEXpiEeXFO6Z5x+u+U0JjhJAqiSUy/5ebZ&#10;7zU3kvZMw+joWJ/hxdGJpEaCa17b1mrCusk+KYVJ/7kU0O650VawRqOTWvW+3B9eBoAZMZeifgIF&#10;SwECA5nC2AOjFfI7RiOMkAyrb1siKUbdew6vwMyb2ZCzUc4G4RVczXCJ0WSu9DSXtoNkmxaQp3fG&#10;xS28lIZZET9ncXhfMBYsl8MIM3Pn9N96PQ/a5S8AAAD//wMAUEsDBBQABgAIAAAAIQAnXqzy3QAA&#10;AAgBAAAPAAAAZHJzL2Rvd25yZXYueG1sTI/BToRAEETvJv7DpE28uYOQhRUZNsTEg1ldI/oBs0wL&#10;RKaHMAOLf2970mNXVapfFfvVDmLByfeOFNxuIhBIjTM9tQo+3h9vdiB80GT04AgVfKOHfXl5Uejc&#10;uDO94VKHVnAJ+Vwr6EIYcyl906HVfuNGJPY+3WR14HNqpZn0mcvtIOMoSqXVPfGHTo/40GHzVc9W&#10;wfJi4+qpOd7J+jlOsiw5vFbzQanrq7W6BxFwDX9h+MVndCiZ6eRmMl4MCjLOsZqlCQi2t2nES04K&#10;4u0uBVkW8v+A8gcAAP//AwBQSwECLQAUAAYACAAAACEAtoM4kv4AAADhAQAAEwAAAAAAAAAAAAAA&#10;AAAAAAAAW0NvbnRlbnRfVHlwZXNdLnhtbFBLAQItABQABgAIAAAAIQA4/SH/1gAAAJQBAAALAAAA&#10;AAAAAAAAAAAAAC8BAABfcmVscy8ucmVsc1BLAQItABQABgAIAAAAIQCeD80dsAIAALAFAAAOAAAA&#10;AAAAAAAAAAAAAC4CAABkcnMvZTJvRG9jLnhtbFBLAQItABQABgAIAAAAIQAnXqzy3QAAAAgBAAAP&#10;AAAAAAAAAAAAAAAAAAoFAABkcnMvZG93bnJldi54bWxQSwUGAAAAAAQABADzAAAAFAYAAAAA&#10;" filled="f" stroked="f">
                <v:textbox inset="0,0,0,0">
                  <w:txbxContent>
                    <w:p w:rsidR="001A11B8" w:rsidRDefault="001A11B8" w:rsidP="001A11B8">
                      <w:pPr>
                        <w:spacing w:after="336"/>
                        <w:rPr>
                          <w:rFonts w:ascii="Gill Sans MT" w:hAnsi="Gill Sans MT"/>
                          <w:spacing w:val="20"/>
                        </w:rPr>
                      </w:pPr>
                      <w:r>
                        <w:rPr>
                          <w:rFonts w:ascii="Gill Sans MT" w:hAnsi="Gill Sans MT"/>
                          <w:spacing w:val="20"/>
                        </w:rPr>
                        <w:t>www.ths.tas.gov.au/cancerscreening</w:t>
                      </w:r>
                    </w:p>
                  </w:txbxContent>
                </v:textbox>
                <w10:wrap type="through"/>
              </v:shape>
            </w:pict>
          </mc:Fallback>
        </mc:AlternateContent>
      </w:r>
      <w:r w:rsidRPr="00FD406E">
        <w:t xml:space="preserve">You can access the </w:t>
      </w:r>
      <w:hyperlink r:id="rId15" w:history="1">
        <w:r w:rsidRPr="00FD406E">
          <w:rPr>
            <w:rStyle w:val="Hyperlink"/>
          </w:rPr>
          <w:t>RACGP Clinical Guidelines for Early Detection of Colorectal Cancer on the RACGP website</w:t>
        </w:r>
      </w:hyperlink>
      <w:r>
        <w:t xml:space="preserve"> </w:t>
      </w:r>
      <w:r w:rsidRPr="001A5204">
        <w:rPr>
          <w:color w:val="404040"/>
        </w:rPr>
        <w:t>(http://www.racgp.org.au/your-practice/guidelines/redbook/9-early-detection-of-cancers/92-colorectal-cancer/)</w:t>
      </w:r>
    </w:p>
    <w:p w:rsidR="001A11B8" w:rsidRDefault="001A11B8" w:rsidP="001A11B8">
      <w:pPr>
        <w:pStyle w:val="ContentHeading1"/>
        <w:sectPr w:rsidR="001A11B8" w:rsidSect="007C0BFC">
          <w:type w:val="continuous"/>
          <w:pgSz w:w="11906" w:h="16838" w:code="9"/>
          <w:pgMar w:top="851" w:right="686" w:bottom="993" w:left="561" w:header="0" w:footer="0" w:gutter="0"/>
          <w:cols w:space="708"/>
          <w:titlePg/>
          <w:docGrid w:linePitch="360"/>
        </w:sectPr>
      </w:pPr>
    </w:p>
    <w:p w:rsidR="001A11B8" w:rsidRDefault="001A11B8" w:rsidP="001A11B8">
      <w:pPr>
        <w:pStyle w:val="ContentHeading1"/>
      </w:pPr>
      <w:r>
        <w:lastRenderedPageBreak/>
        <w:t>Diagnosis</w:t>
      </w:r>
    </w:p>
    <w:p w:rsidR="001A11B8" w:rsidRDefault="001A11B8" w:rsidP="001A11B8">
      <w:pPr>
        <w:spacing w:after="336"/>
        <w:ind w:left="0" w:firstLine="0"/>
        <w:jc w:val="center"/>
      </w:pPr>
      <w:bookmarkStart w:id="0" w:name="_GoBack"/>
      <w:r>
        <w:rPr>
          <w:noProof/>
        </w:rPr>
        <w:drawing>
          <wp:inline distT="0" distB="0" distL="0" distR="0" wp14:anchorId="3CFBCB9B" wp14:editId="22BED89F">
            <wp:extent cx="4246517" cy="6054863"/>
            <wp:effectExtent l="19050" t="19050" r="20955" b="22225"/>
            <wp:docPr id="9" name="Picture 29" descr="10% diagnosed via ‘national screening program’.  Of the 10%, 37% diagnosed early (stage 1) and 8% late (stage 4)&#10;&#10;30% diagnosed by ‘urgent GP two week wait referral for suspected cancer symptoms’ and 24% by ‘routine GP referral’.  Of the both types of GP referrals, 18% diagnosed early (stage 1) and 22% late (stage 4).&#10;&#10;24% diagnosed ‘in an emergency, via emergency GP transferal to hospital, as a hospital patient or via A&amp;E’. Of the 24%, 6% diagnosed early (stage 1) and 40% late (stage 4).&#10;&#10;10% diagnosed as ‘hospital in or outpatient’.  Of the 10%, 22% diagnosed early (stage 1) and 22% late (stage 4).&#10;&#10;2% unknown data.&#10;&#10;Source:  National Cancer Intelligence Network data for England 2012-2013&#10;&#10;Let’s beat cancer sooner&#10;cruk.org&#10;Cancer Research UK" title="How and when bowel cancer patients are diagno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10% diagnosed via ‘national screening program’.  Of the 10%, 37% diagnosed early (stage 1) and 8% late (stage 4)&#10;&#10;30% diagnosed by ‘urgent GP two week wait referral for suspected cancer symptoms’ and 24% by ‘routine GP referral’.  Of the both types of GP referrals, 18% diagnosed early (stage 1) and 22% late (stage 4).&#10;&#10;24% diagnosed ‘in an emergency, via emergency GP transferal to hospital, as a hospital patient or via A&amp;E’. Of the 24%, 6% diagnosed early (stage 1) and 40% late (stage 4).&#10;&#10;10% diagnosed as ‘hospital in or outpatient’.  Of the 10%, 22% diagnosed early (stage 1) and 22% late (stage 4).&#10;&#10;2% unknown data.&#10;&#10;Source:  National Cancer Intelligence Network data for England 2012-2013&#10;&#10;Let’s beat cancer sooner&#10;cruk.org&#10;Cancer Research UK" title="How and when bowel cancer patients are diagnos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46245" cy="6054725"/>
                    </a:xfrm>
                    <a:prstGeom prst="rect">
                      <a:avLst/>
                    </a:prstGeom>
                    <a:noFill/>
                    <a:ln>
                      <a:solidFill>
                        <a:srgbClr val="336699"/>
                      </a:solidFill>
                    </a:ln>
                  </pic:spPr>
                </pic:pic>
              </a:graphicData>
            </a:graphic>
          </wp:inline>
        </w:drawing>
      </w:r>
      <w:bookmarkEnd w:id="0"/>
      <w:r>
        <w:br/>
      </w:r>
      <w:r w:rsidRPr="005A158F">
        <w:rPr>
          <w:rFonts w:ascii="Gill Sans MT" w:hAnsi="Gill Sans MT"/>
          <w:i/>
          <w:color w:val="002060"/>
          <w:sz w:val="22"/>
          <w:szCs w:val="22"/>
        </w:rPr>
        <w:t xml:space="preserve">Image: </w:t>
      </w:r>
      <w:r w:rsidRPr="00E462E4">
        <w:rPr>
          <w:rFonts w:ascii="Gill Sans MT" w:hAnsi="Gill Sans MT"/>
          <w:i/>
          <w:color w:val="002060"/>
          <w:sz w:val="22"/>
          <w:szCs w:val="22"/>
        </w:rPr>
        <w:t>Cancer Research UK, viewed March 2017</w:t>
      </w:r>
      <w:r>
        <w:rPr>
          <w:rFonts w:ascii="Gill Sans MT" w:hAnsi="Gill Sans MT"/>
          <w:i/>
          <w:color w:val="002060"/>
          <w:sz w:val="22"/>
          <w:szCs w:val="22"/>
        </w:rPr>
        <w:br w:type="column"/>
      </w:r>
      <w:r>
        <w:rPr>
          <w:rFonts w:ascii="Gill Sans MT" w:hAnsi="Gill Sans MT"/>
          <w:b/>
          <w:noProof/>
          <w:color w:val="000000"/>
          <w:sz w:val="40"/>
          <w:szCs w:val="40"/>
        </w:rPr>
        <w:lastRenderedPageBreak/>
        <w:t xml:space="preserve"> NBCSP Status Update</w:t>
      </w:r>
    </w:p>
    <w:p w:rsidR="001A11B8" w:rsidRDefault="001A11B8" w:rsidP="001A11B8">
      <w:pPr>
        <w:pStyle w:val="ListParagraph"/>
        <w:numPr>
          <w:ilvl w:val="0"/>
          <w:numId w:val="2"/>
        </w:numPr>
        <w:ind w:left="426"/>
        <w:rPr>
          <w:rFonts w:ascii="Gill Sans MT" w:hAnsi="Gill Sans MT"/>
          <w:sz w:val="22"/>
          <w:szCs w:val="22"/>
          <w:lang w:val="en-US"/>
        </w:rPr>
      </w:pPr>
      <w:r>
        <w:rPr>
          <w:rFonts w:ascii="Gill Sans MT" w:hAnsi="Gill Sans MT"/>
          <w:sz w:val="22"/>
          <w:szCs w:val="22"/>
          <w:lang w:val="en-US"/>
        </w:rPr>
        <w:t>Only 44.3% of eligible Tasmanians participated in the NBCSP in 2016.</w:t>
      </w:r>
    </w:p>
    <w:p w:rsidR="001A11B8" w:rsidRDefault="001A11B8" w:rsidP="001A11B8">
      <w:pPr>
        <w:pStyle w:val="ListParagraph"/>
        <w:numPr>
          <w:ilvl w:val="0"/>
          <w:numId w:val="2"/>
        </w:numPr>
        <w:ind w:left="426"/>
        <w:rPr>
          <w:rFonts w:ascii="Gill Sans MT" w:hAnsi="Gill Sans MT"/>
          <w:sz w:val="22"/>
          <w:szCs w:val="22"/>
          <w:lang w:val="en-US"/>
        </w:rPr>
      </w:pPr>
      <w:r>
        <w:rPr>
          <w:rFonts w:ascii="Gill Sans MT" w:hAnsi="Gill Sans MT"/>
          <w:sz w:val="22"/>
          <w:szCs w:val="22"/>
          <w:lang w:val="en-US"/>
        </w:rPr>
        <w:t xml:space="preserve">In 2016, 8.6% of Tasmanians who completed their screening test had a positive result. </w:t>
      </w:r>
    </w:p>
    <w:p w:rsidR="001A11B8" w:rsidRPr="00085871" w:rsidRDefault="001A11B8" w:rsidP="001A11B8">
      <w:pPr>
        <w:pStyle w:val="ListParagraph"/>
        <w:numPr>
          <w:ilvl w:val="0"/>
          <w:numId w:val="2"/>
        </w:numPr>
        <w:ind w:left="426"/>
        <w:rPr>
          <w:rFonts w:ascii="Gill Sans MT" w:hAnsi="Gill Sans MT"/>
          <w:sz w:val="22"/>
          <w:szCs w:val="22"/>
          <w:lang w:val="en-US"/>
        </w:rPr>
      </w:pPr>
      <w:r w:rsidRPr="00085871">
        <w:rPr>
          <w:rFonts w:ascii="Gill Sans MT" w:hAnsi="Gill Sans MT"/>
          <w:sz w:val="22"/>
          <w:szCs w:val="22"/>
          <w:lang w:val="en-US"/>
        </w:rPr>
        <w:t>More women return the screening test than men, however,</w:t>
      </w:r>
      <w:r>
        <w:rPr>
          <w:rFonts w:ascii="Gill Sans MT" w:hAnsi="Gill Sans MT"/>
          <w:sz w:val="22"/>
          <w:szCs w:val="22"/>
          <w:lang w:val="en-US"/>
        </w:rPr>
        <w:t xml:space="preserve"> m</w:t>
      </w:r>
      <w:r w:rsidRPr="00085871">
        <w:rPr>
          <w:rFonts w:ascii="Gill Sans MT" w:hAnsi="Gill Sans MT"/>
          <w:sz w:val="22"/>
          <w:szCs w:val="22"/>
          <w:lang w:val="en-US"/>
        </w:rPr>
        <w:t>ore men are diagnosed with bowel cancer than women</w:t>
      </w:r>
      <w:r>
        <w:rPr>
          <w:rFonts w:ascii="Gill Sans MT" w:hAnsi="Gill Sans MT"/>
          <w:sz w:val="22"/>
          <w:szCs w:val="22"/>
          <w:lang w:val="en-US"/>
        </w:rPr>
        <w:t>.</w:t>
      </w:r>
    </w:p>
    <w:p w:rsidR="001A11B8" w:rsidRPr="002C27E3" w:rsidRDefault="001A11B8" w:rsidP="001A11B8">
      <w:pPr>
        <w:pStyle w:val="ListParagraph"/>
        <w:numPr>
          <w:ilvl w:val="0"/>
          <w:numId w:val="2"/>
        </w:numPr>
        <w:ind w:left="426"/>
        <w:rPr>
          <w:rFonts w:ascii="Gill Sans MT" w:hAnsi="Gill Sans MT"/>
          <w:sz w:val="22"/>
          <w:szCs w:val="22"/>
          <w:lang w:val="en-US"/>
        </w:rPr>
      </w:pPr>
      <w:r>
        <w:rPr>
          <w:rFonts w:ascii="Gill Sans MT" w:hAnsi="Gill Sans MT"/>
          <w:sz w:val="22"/>
          <w:szCs w:val="22"/>
          <w:lang w:val="en-US"/>
        </w:rPr>
        <w:t>The age cohorts invited to screen in 2017 are: 50, 54, 55, 58, 60, 64, 68, 70, 72, and 74.</w:t>
      </w:r>
    </w:p>
    <w:p w:rsidR="001A11B8" w:rsidRDefault="001A11B8" w:rsidP="001A11B8">
      <w:pPr>
        <w:ind w:left="0" w:firstLine="0"/>
        <w:rPr>
          <w:rFonts w:ascii="Gill Sans MT" w:hAnsi="Gill Sans MT"/>
          <w:sz w:val="22"/>
          <w:szCs w:val="22"/>
          <w:lang w:val="en-US"/>
        </w:rPr>
      </w:pPr>
    </w:p>
    <w:p w:rsidR="001A11B8" w:rsidRPr="002C27E3" w:rsidRDefault="001A11B8" w:rsidP="001A11B8">
      <w:pPr>
        <w:ind w:left="0" w:firstLine="0"/>
        <w:rPr>
          <w:rFonts w:ascii="Gill Sans MT" w:hAnsi="Gill Sans MT"/>
          <w:b/>
          <w:sz w:val="22"/>
          <w:szCs w:val="22"/>
          <w:lang w:val="en-US"/>
        </w:rPr>
      </w:pPr>
      <w:r w:rsidRPr="002C27E3">
        <w:rPr>
          <w:rFonts w:ascii="Gill Sans MT" w:hAnsi="Gill Sans MT"/>
          <w:sz w:val="22"/>
          <w:szCs w:val="22"/>
          <w:lang w:val="en-US"/>
        </w:rPr>
        <w:t>As a GP you are essential to the success of the NBCSP</w:t>
      </w:r>
      <w:r w:rsidRPr="002C27E3">
        <w:rPr>
          <w:rFonts w:ascii="Gill Sans MT" w:hAnsi="Gill Sans MT"/>
          <w:sz w:val="22"/>
          <w:szCs w:val="22"/>
        </w:rPr>
        <w:t xml:space="preserve"> </w:t>
      </w:r>
      <w:r>
        <w:rPr>
          <w:rFonts w:ascii="Gill Sans MT" w:hAnsi="Gill Sans MT"/>
          <w:sz w:val="22"/>
          <w:szCs w:val="22"/>
          <w:lang w:val="en-US"/>
        </w:rPr>
        <w:t>and we encourage you to:</w:t>
      </w:r>
      <w:r w:rsidRPr="002C27E3">
        <w:rPr>
          <w:rFonts w:ascii="Gill Sans MT" w:hAnsi="Gill Sans MT"/>
          <w:sz w:val="22"/>
          <w:szCs w:val="22"/>
          <w:lang w:val="en-US"/>
        </w:rPr>
        <w:t xml:space="preserve"> </w:t>
      </w:r>
    </w:p>
    <w:p w:rsidR="001A11B8" w:rsidRPr="00E462E4" w:rsidRDefault="001A11B8" w:rsidP="001A11B8">
      <w:pPr>
        <w:pStyle w:val="BodyTextFirstIndent"/>
        <w:numPr>
          <w:ilvl w:val="0"/>
          <w:numId w:val="3"/>
        </w:numPr>
        <w:ind w:left="426"/>
      </w:pPr>
      <w:r w:rsidRPr="00E462E4">
        <w:t>Recommend your patients undertake the NBCSP test when they rec</w:t>
      </w:r>
      <w:r>
        <w:t>eive their free kit in the mail</w:t>
      </w:r>
    </w:p>
    <w:p w:rsidR="001A11B8" w:rsidRPr="00E462E4" w:rsidRDefault="001A11B8" w:rsidP="001A11B8">
      <w:pPr>
        <w:pStyle w:val="BodyTextFirstIndent"/>
        <w:numPr>
          <w:ilvl w:val="0"/>
          <w:numId w:val="3"/>
        </w:numPr>
        <w:ind w:left="426"/>
      </w:pPr>
      <w:r w:rsidRPr="00E462E4">
        <w:t>Promptly refer participants with a posi</w:t>
      </w:r>
      <w:r>
        <w:t>tive iFOBT for colonoscopy</w:t>
      </w:r>
    </w:p>
    <w:p w:rsidR="001A11B8" w:rsidRPr="00E462E4" w:rsidRDefault="001A11B8" w:rsidP="001A11B8">
      <w:pPr>
        <w:pStyle w:val="BodyTextFirstIndent"/>
        <w:numPr>
          <w:ilvl w:val="0"/>
          <w:numId w:val="3"/>
        </w:numPr>
        <w:ind w:left="426"/>
      </w:pPr>
      <w:r w:rsidRPr="00E462E4">
        <w:t>Ensure your patient’s NBCSP Participant ID number and Dorevitch Pathology Positive Result Letter is included in the referral.</w:t>
      </w:r>
    </w:p>
    <w:p w:rsidR="001A11B8" w:rsidRDefault="001A11B8" w:rsidP="001A11B8">
      <w:pPr>
        <w:pStyle w:val="Body"/>
      </w:pPr>
    </w:p>
    <w:p w:rsidR="001A11B8" w:rsidRDefault="001A11B8" w:rsidP="001A11B8">
      <w:pPr>
        <w:pStyle w:val="Body"/>
        <w:sectPr w:rsidR="001A11B8" w:rsidSect="00700EDA">
          <w:headerReference w:type="first" r:id="rId17"/>
          <w:footerReference w:type="first" r:id="rId18"/>
          <w:type w:val="continuous"/>
          <w:pgSz w:w="11906" w:h="16838" w:code="9"/>
          <w:pgMar w:top="851" w:right="686" w:bottom="993" w:left="561" w:header="0" w:footer="0" w:gutter="0"/>
          <w:cols w:num="2" w:space="284" w:equalWidth="0">
            <w:col w:w="6804" w:space="284"/>
            <w:col w:w="3571"/>
          </w:cols>
          <w:titlePg/>
          <w:docGrid w:linePitch="360"/>
        </w:sectPr>
      </w:pPr>
    </w:p>
    <w:p w:rsidR="001A11B8" w:rsidRDefault="001A11B8" w:rsidP="001A11B8">
      <w:pPr>
        <w:pStyle w:val="ContentHeading1"/>
      </w:pPr>
      <w:r>
        <w:lastRenderedPageBreak/>
        <w:t>Contact</w:t>
      </w:r>
    </w:p>
    <w:p w:rsidR="001A11B8" w:rsidRDefault="001A11B8" w:rsidP="001A11B8">
      <w:pPr>
        <w:pStyle w:val="Body"/>
      </w:pPr>
      <w:r>
        <w:t>For further information, contact:</w:t>
      </w:r>
    </w:p>
    <w:tbl>
      <w:tblPr>
        <w:tblW w:w="0" w:type="auto"/>
        <w:tblInd w:w="360" w:type="dxa"/>
        <w:tblBorders>
          <w:top w:val="single" w:sz="6" w:space="0" w:color="244061"/>
          <w:left w:val="single" w:sz="6" w:space="0" w:color="244061"/>
          <w:bottom w:val="single" w:sz="6" w:space="0" w:color="244061"/>
          <w:right w:val="single" w:sz="6" w:space="0" w:color="244061"/>
          <w:insideH w:val="single" w:sz="6" w:space="0" w:color="244061"/>
          <w:insideV w:val="single" w:sz="6" w:space="0" w:color="244061"/>
        </w:tblBorders>
        <w:tblCellMar>
          <w:top w:w="170" w:type="dxa"/>
        </w:tblCellMar>
        <w:tblLook w:val="06A0" w:firstRow="1" w:lastRow="0" w:firstColumn="1" w:lastColumn="0" w:noHBand="1" w:noVBand="1"/>
      </w:tblPr>
      <w:tblGrid>
        <w:gridCol w:w="5277"/>
        <w:gridCol w:w="5238"/>
      </w:tblGrid>
      <w:tr w:rsidR="001A11B8" w:rsidTr="000717A6">
        <w:trPr>
          <w:tblHeader/>
        </w:trPr>
        <w:tc>
          <w:tcPr>
            <w:tcW w:w="5277" w:type="dxa"/>
            <w:shd w:val="clear" w:color="auto" w:fill="auto"/>
            <w:vAlign w:val="center"/>
          </w:tcPr>
          <w:p w:rsidR="001A11B8" w:rsidRPr="001A5204" w:rsidRDefault="001A11B8" w:rsidP="000717A6">
            <w:pPr>
              <w:pStyle w:val="Body"/>
              <w:spacing w:line="240" w:lineRule="auto"/>
              <w:ind w:left="0"/>
              <w:rPr>
                <w:b/>
              </w:rPr>
            </w:pPr>
            <w:r w:rsidRPr="001A5204">
              <w:rPr>
                <w:b/>
              </w:rPr>
              <w:t>The Tasmanian NBCSP Participant Follow-Up Coordinators</w:t>
            </w:r>
          </w:p>
        </w:tc>
        <w:tc>
          <w:tcPr>
            <w:tcW w:w="5238" w:type="dxa"/>
            <w:shd w:val="clear" w:color="auto" w:fill="auto"/>
            <w:vAlign w:val="center"/>
          </w:tcPr>
          <w:p w:rsidR="001A11B8" w:rsidRDefault="001A11B8" w:rsidP="000717A6">
            <w:pPr>
              <w:pStyle w:val="Body"/>
              <w:spacing w:line="240" w:lineRule="auto"/>
              <w:ind w:left="0"/>
            </w:pPr>
            <w:r>
              <w:t>Phone:  6166 6910</w:t>
            </w:r>
            <w:r>
              <w:br/>
              <w:t xml:space="preserve">Email: </w:t>
            </w:r>
            <w:hyperlink r:id="rId19" w:history="1">
              <w:r w:rsidRPr="001A5204">
                <w:rPr>
                  <w:rStyle w:val="Hyperlink"/>
                </w:rPr>
                <w:t>alyce.francis@ths.tas.gov.au</w:t>
              </w:r>
            </w:hyperlink>
          </w:p>
        </w:tc>
      </w:tr>
      <w:tr w:rsidR="001A11B8" w:rsidTr="000717A6">
        <w:trPr>
          <w:tblHeader/>
        </w:trPr>
        <w:tc>
          <w:tcPr>
            <w:tcW w:w="5277" w:type="dxa"/>
            <w:shd w:val="clear" w:color="auto" w:fill="auto"/>
            <w:vAlign w:val="center"/>
          </w:tcPr>
          <w:p w:rsidR="001A11B8" w:rsidRPr="001A5204" w:rsidRDefault="001A11B8" w:rsidP="000717A6">
            <w:pPr>
              <w:pStyle w:val="Body"/>
              <w:spacing w:line="240" w:lineRule="auto"/>
              <w:ind w:left="0"/>
              <w:rPr>
                <w:b/>
              </w:rPr>
            </w:pPr>
            <w:r w:rsidRPr="001A5204">
              <w:rPr>
                <w:b/>
              </w:rPr>
              <w:t>The Australian NBCSP Information Line</w:t>
            </w:r>
          </w:p>
        </w:tc>
        <w:tc>
          <w:tcPr>
            <w:tcW w:w="5238" w:type="dxa"/>
            <w:shd w:val="clear" w:color="auto" w:fill="auto"/>
            <w:vAlign w:val="center"/>
          </w:tcPr>
          <w:p w:rsidR="001A11B8" w:rsidRDefault="001A11B8" w:rsidP="000717A6">
            <w:pPr>
              <w:pStyle w:val="Body"/>
              <w:spacing w:line="240" w:lineRule="auto"/>
              <w:ind w:left="0"/>
            </w:pPr>
            <w:r>
              <w:t>Phone:  1800 118 868</w:t>
            </w:r>
          </w:p>
        </w:tc>
      </w:tr>
    </w:tbl>
    <w:p w:rsidR="00EF0F4D" w:rsidRDefault="00EF0F4D"/>
    <w:sectPr w:rsidR="00EF0F4D" w:rsidSect="007C0BFC">
      <w:type w:val="continuous"/>
      <w:pgSz w:w="11906" w:h="16838" w:code="9"/>
      <w:pgMar w:top="851" w:right="686" w:bottom="993" w:left="561"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11B8" w:rsidRDefault="001A11B8" w:rsidP="001A11B8">
      <w:pPr>
        <w:spacing w:after="0" w:line="240" w:lineRule="auto"/>
      </w:pPr>
      <w:r>
        <w:separator/>
      </w:r>
    </w:p>
  </w:endnote>
  <w:endnote w:type="continuationSeparator" w:id="0">
    <w:p w:rsidR="001A11B8" w:rsidRDefault="001A11B8" w:rsidP="001A11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ill Sans MT">
    <w:panose1 w:val="020B0502020104020203"/>
    <w:charset w:val="00"/>
    <w:family w:val="swiss"/>
    <w:pitch w:val="variable"/>
    <w:sig w:usb0="00000007" w:usb1="00000000" w:usb2="00000000" w:usb3="00000000" w:csb0="00000003"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1B8" w:rsidRDefault="001A11B8" w:rsidP="00E462E4">
    <w:pPr>
      <w:pStyle w:val="Footer"/>
      <w:spacing w:after="33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1B8" w:rsidRPr="005F6DE5" w:rsidRDefault="001A11B8" w:rsidP="00E462E4">
    <w:pPr>
      <w:pStyle w:val="Footer"/>
      <w:spacing w:after="336"/>
      <w:jc w:val="right"/>
      <w:rPr>
        <w:rFonts w:ascii="Gill Sans MT" w:hAnsi="Gill Sans MT"/>
        <w:sz w:val="16"/>
        <w:szCs w:val="16"/>
      </w:rPr>
    </w:pPr>
    <w:r w:rsidRPr="005F6DE5">
      <w:rPr>
        <w:rFonts w:ascii="Gill Sans MT" w:hAnsi="Gill Sans MT"/>
        <w:sz w:val="16"/>
        <w:szCs w:val="16"/>
      </w:rPr>
      <w:t xml:space="preserve">Page </w:t>
    </w:r>
    <w:r w:rsidRPr="005F6DE5">
      <w:rPr>
        <w:rFonts w:ascii="Gill Sans MT" w:hAnsi="Gill Sans MT"/>
        <w:bCs/>
        <w:sz w:val="16"/>
        <w:szCs w:val="16"/>
      </w:rPr>
      <w:fldChar w:fldCharType="begin"/>
    </w:r>
    <w:r w:rsidRPr="005F6DE5">
      <w:rPr>
        <w:rFonts w:ascii="Gill Sans MT" w:hAnsi="Gill Sans MT"/>
        <w:bCs/>
        <w:sz w:val="16"/>
        <w:szCs w:val="16"/>
      </w:rPr>
      <w:instrText xml:space="preserve"> PAGE </w:instrText>
    </w:r>
    <w:r w:rsidRPr="005F6DE5">
      <w:rPr>
        <w:rFonts w:ascii="Gill Sans MT" w:hAnsi="Gill Sans MT"/>
        <w:bCs/>
        <w:sz w:val="16"/>
        <w:szCs w:val="16"/>
      </w:rPr>
      <w:fldChar w:fldCharType="separate"/>
    </w:r>
    <w:r>
      <w:rPr>
        <w:rFonts w:ascii="Gill Sans MT" w:hAnsi="Gill Sans MT"/>
        <w:bCs/>
        <w:noProof/>
        <w:sz w:val="16"/>
        <w:szCs w:val="16"/>
      </w:rPr>
      <w:t>3</w:t>
    </w:r>
    <w:r w:rsidRPr="005F6DE5">
      <w:rPr>
        <w:rFonts w:ascii="Gill Sans MT" w:hAnsi="Gill Sans MT"/>
        <w:bCs/>
        <w:sz w:val="16"/>
        <w:szCs w:val="16"/>
      </w:rPr>
      <w:fldChar w:fldCharType="end"/>
    </w:r>
    <w:r w:rsidRPr="005F6DE5">
      <w:rPr>
        <w:rFonts w:ascii="Gill Sans MT" w:hAnsi="Gill Sans MT"/>
        <w:sz w:val="16"/>
        <w:szCs w:val="16"/>
      </w:rPr>
      <w:t xml:space="preserve"> of </w:t>
    </w:r>
    <w:r w:rsidRPr="005F6DE5">
      <w:rPr>
        <w:rFonts w:ascii="Gill Sans MT" w:hAnsi="Gill Sans MT"/>
        <w:bCs/>
        <w:sz w:val="16"/>
        <w:szCs w:val="16"/>
      </w:rPr>
      <w:fldChar w:fldCharType="begin"/>
    </w:r>
    <w:r w:rsidRPr="005F6DE5">
      <w:rPr>
        <w:rFonts w:ascii="Gill Sans MT" w:hAnsi="Gill Sans MT"/>
        <w:bCs/>
        <w:sz w:val="16"/>
        <w:szCs w:val="16"/>
      </w:rPr>
      <w:instrText xml:space="preserve"> NUMPAGES  </w:instrText>
    </w:r>
    <w:r w:rsidRPr="005F6DE5">
      <w:rPr>
        <w:rFonts w:ascii="Gill Sans MT" w:hAnsi="Gill Sans MT"/>
        <w:bCs/>
        <w:sz w:val="16"/>
        <w:szCs w:val="16"/>
      </w:rPr>
      <w:fldChar w:fldCharType="separate"/>
    </w:r>
    <w:r>
      <w:rPr>
        <w:rFonts w:ascii="Gill Sans MT" w:hAnsi="Gill Sans MT"/>
        <w:bCs/>
        <w:noProof/>
        <w:sz w:val="16"/>
        <w:szCs w:val="16"/>
      </w:rPr>
      <w:t>3</w:t>
    </w:r>
    <w:r w:rsidRPr="005F6DE5">
      <w:rPr>
        <w:rFonts w:ascii="Gill Sans MT" w:hAnsi="Gill Sans MT"/>
        <w:bCs/>
        <w:sz w:val="16"/>
        <w:szCs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1B8" w:rsidRDefault="001A11B8" w:rsidP="007C0BFC">
    <w:pPr>
      <w:pStyle w:val="Footer"/>
      <w:spacing w:after="336"/>
      <w:ind w:left="-561" w:firstLine="0"/>
    </w:pPr>
    <w:r>
      <w:rPr>
        <w:noProof/>
      </w:rPr>
      <w:drawing>
        <wp:inline distT="0" distB="0" distL="0" distR="0" wp14:anchorId="54164A06" wp14:editId="7622A264">
          <wp:extent cx="7763510" cy="1276985"/>
          <wp:effectExtent l="0" t="0" r="8890" b="0"/>
          <wp:docPr id="1" name="Picture 1" descr="includes Tasmanian Health Service branding and the Tasmanian Government logo" title="THS / DHHS basew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 descr="includes Tasmanian Health Service branding and the Tasmanian Government logo" title="THS / DHHS basewave"/>
                  <pic:cNvPicPr>
                    <a:picLocks noChangeAspect="1"/>
                  </pic:cNvPicPr>
                </pic:nvPicPr>
                <pic:blipFill rotWithShape="1">
                  <a:blip r:embed="rId1" cstate="print">
                    <a:extLst>
                      <a:ext uri="{28A0092B-C50C-407E-A947-70E740481C1C}">
                        <a14:useLocalDpi xmlns:a14="http://schemas.microsoft.com/office/drawing/2010/main" val="0"/>
                      </a:ext>
                    </a:extLst>
                  </a:blip>
                  <a:srcRect t="13669"/>
                  <a:stretch/>
                </pic:blipFill>
                <pic:spPr bwMode="auto">
                  <a:xfrm>
                    <a:off x="0" y="0"/>
                    <a:ext cx="7763510" cy="1276985"/>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1B8" w:rsidRDefault="001A11B8" w:rsidP="007C0BFC">
    <w:pPr>
      <w:pStyle w:val="Footer"/>
      <w:spacing w:after="336"/>
      <w:ind w:left="-561" w:firstLine="0"/>
    </w:pPr>
    <w:r>
      <w:rPr>
        <w:noProof/>
      </w:rPr>
      <mc:AlternateContent>
        <mc:Choice Requires="wps">
          <w:drawing>
            <wp:anchor distT="0" distB="0" distL="114300" distR="114300" simplePos="0" relativeHeight="251659264" behindDoc="0" locked="0" layoutInCell="1" allowOverlap="1">
              <wp:simplePos x="0" y="0"/>
              <wp:positionH relativeFrom="column">
                <wp:posOffset>10160</wp:posOffset>
              </wp:positionH>
              <wp:positionV relativeFrom="paragraph">
                <wp:posOffset>601345</wp:posOffset>
              </wp:positionV>
              <wp:extent cx="3983355" cy="522605"/>
              <wp:effectExtent l="0" t="0" r="17145" b="10795"/>
              <wp:wrapThrough wrapText="bothSides">
                <wp:wrapPolygon edited="0">
                  <wp:start x="0" y="0"/>
                  <wp:lineTo x="0" y="21259"/>
                  <wp:lineTo x="21590" y="21259"/>
                  <wp:lineTo x="21590" y="0"/>
                  <wp:lineTo x="0" y="0"/>
                </wp:wrapPolygon>
              </wp:wrapThrough>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3355" cy="522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11B8" w:rsidRDefault="001A11B8" w:rsidP="00E462E4">
                          <w:pPr>
                            <w:spacing w:after="336"/>
                            <w:rPr>
                              <w:rFonts w:ascii="Gill Sans MT" w:hAnsi="Gill Sans MT"/>
                              <w:spacing w:val="20"/>
                            </w:rPr>
                          </w:pPr>
                          <w:r>
                            <w:rPr>
                              <w:rFonts w:ascii="Gill Sans MT" w:hAnsi="Gill Sans MT"/>
                              <w:spacing w:val="20"/>
                            </w:rPr>
                            <w:t>www.ths.tas.gov.au/cancerscreening</w:t>
                          </w:r>
                        </w:p>
                      </w:txbxContent>
                    </wps:txbx>
                    <wps:bodyPr rot="0" vert="horz" wrap="square" lIns="0" tIns="0" rIns="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left:0;text-align:left;margin-left:.8pt;margin-top:47.35pt;width:313.65pt;height:41.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7PQrQIAAKkFAAAOAAAAZHJzL2Uyb0RvYy54bWysVG1vmzAQ/j5p/8Hyd8pLIA2opGpDmCZ1&#10;L1K7H2DABGtgM9sJdNP++84mpGmrSdM2PliHfX7unrvHd3U9di06UKmY4Cn2LzyMKC9FxfguxV8e&#10;cmeFkdKEV6QVnKb4kSp8vX775mroExqIRrQVlQhAuEqGPsWN1n3iuqpsaEfUhegph8NayI5o+JU7&#10;t5JkAPSudQPPW7qDkFUvRUmVgt1sOsRri1/XtNSf6lpRjdoUQ27artKuhVnd9RVJdpL0DSuPaZC/&#10;yKIjjEPQE1RGNEF7yV5BdayUQolaX5Sic0Vds5JaDsDG916wuW9ITy0XKI7qT2VS/w+2/Hj4LBGr&#10;UrzAiJMOWvRAR41uxYgCU52hVwk43ffgpkfYhi5bpqq/E+VXhbjYNITv6I2UYmgoqSA739x0z65O&#10;OMqAFMMHUUEYstfCAo217EzpoBgI0KFLj6fOmFRK2FzEq8UiijAq4SwKgqUX2RAkmW/3Uul3VHTI&#10;GCmW0HmLTg53SptsSDK7mGBc5Kxtbfdb/mwDHKcdiA1XzZnJwjbzR+zF29V2FTphsNw6oZdlzk2+&#10;CZ1l7l9G2SLbbDL/p4nrh0nDqopyE2YWlh/+WeOOEp8kcZKWEi2rDJxJScldsWklOhAQdm6/Y0HO&#10;3NznadgiAJcXlPwg9G6D2MmXq0snzMPIiS+9leP58W289MI4zPLnlO4Yp/9OCQ0pjqMgmsT0W26e&#10;/V5zI0nHNIyOlnUpXp2cSGIkuOWVba0mrJ3ss1KY9J9KAe2eG20FazQ6qVWPxQgoRsWFqB5BulKA&#10;skCfMO/AaIT8jtEAsyPF6tueSIpR+56D/M2gmQ05G8VsEF7C1RQXGE3mRk8Dad9LtmsAeXpgXNzA&#10;E6mZVe9TFseHBfPAkjjOLjNwzv+t19OEXf8CAAD//wMAUEsDBBQABgAIAAAAIQA3XiAN3QAAAAgB&#10;AAAPAAAAZHJzL2Rvd25yZXYueG1sTI/BToRAEETvJv7DpE28uYOsYRZk2BATD2Z1jegHzEILRKaH&#10;MAOLf2970mN1Vapf5fvVDmLByfeONNxuIhBItWt6ajV8vD/e7ED4YKgxgyPU8I0e9sXlRW6yxp3p&#10;DZcqtIJLyGdGQxfCmEnp6w6t8Rs3IrH36SZrAsuplc1kzlxuBxlHUSKt6Yk/dGbEhw7rr2q2GpYX&#10;G5dP9TGV1XO8VWp7eC3ng9bXV2t5DyLgGv7C8IvP6FAw08nN1HgxsE44qCG9UyDYTuJdCuLEd6Ui&#10;kEUu/w8ofgAAAP//AwBQSwECLQAUAAYACAAAACEAtoM4kv4AAADhAQAAEwAAAAAAAAAAAAAAAAAA&#10;AAAAW0NvbnRlbnRfVHlwZXNdLnhtbFBLAQItABQABgAIAAAAIQA4/SH/1gAAAJQBAAALAAAAAAAA&#10;AAAAAAAAAC8BAABfcmVscy8ucmVsc1BLAQItABQABgAIAAAAIQCjr7PQrQIAAKkFAAAOAAAAAAAA&#10;AAAAAAAAAC4CAABkcnMvZTJvRG9jLnhtbFBLAQItABQABgAIAAAAIQA3XiAN3QAAAAgBAAAPAAAA&#10;AAAAAAAAAAAAAAcFAABkcnMvZG93bnJldi54bWxQSwUGAAAAAAQABADzAAAAEQYAAAAA&#10;" filled="f" stroked="f">
              <v:textbox inset="0,0,0,0">
                <w:txbxContent>
                  <w:p w:rsidR="001A11B8" w:rsidRDefault="001A11B8" w:rsidP="00E462E4">
                    <w:pPr>
                      <w:spacing w:after="336"/>
                      <w:rPr>
                        <w:rFonts w:ascii="Gill Sans MT" w:hAnsi="Gill Sans MT"/>
                        <w:spacing w:val="20"/>
                      </w:rPr>
                    </w:pPr>
                    <w:r>
                      <w:rPr>
                        <w:rFonts w:ascii="Gill Sans MT" w:hAnsi="Gill Sans MT"/>
                        <w:spacing w:val="20"/>
                      </w:rPr>
                      <w:t>www.ths.tas.gov.au/cancerscreening</w:t>
                    </w:r>
                  </w:p>
                </w:txbxContent>
              </v:textbox>
              <w10:wrap type="through"/>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11B8" w:rsidRDefault="001A11B8" w:rsidP="001A11B8">
      <w:pPr>
        <w:spacing w:after="0" w:line="240" w:lineRule="auto"/>
      </w:pPr>
      <w:r>
        <w:separator/>
      </w:r>
    </w:p>
  </w:footnote>
  <w:footnote w:type="continuationSeparator" w:id="0">
    <w:p w:rsidR="001A11B8" w:rsidRDefault="001A11B8" w:rsidP="001A11B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1B8" w:rsidRDefault="001A11B8" w:rsidP="00E462E4">
    <w:pPr>
      <w:pStyle w:val="Header"/>
      <w:spacing w:after="33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1B8" w:rsidRDefault="001A11B8" w:rsidP="00E462E4">
    <w:pPr>
      <w:pStyle w:val="Header"/>
      <w:spacing w:after="33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1B8" w:rsidRDefault="001A11B8" w:rsidP="00F75815">
    <w:pPr>
      <w:pStyle w:val="Header"/>
      <w:spacing w:after="336"/>
      <w:ind w:left="-561"/>
      <w:rPr>
        <w:noProof/>
      </w:rPr>
    </w:pPr>
    <w:r>
      <w:rPr>
        <w:noProof/>
      </w:rPr>
      <w:drawing>
        <wp:inline distT="0" distB="0" distL="0" distR="0" wp14:anchorId="6C96D77C" wp14:editId="71D5A814">
          <wp:extent cx="7832725" cy="2242820"/>
          <wp:effectExtent l="0" t="0" r="0" b="5080"/>
          <wp:docPr id="2" name="Picture 27" descr="Blue shading that sit behind heading and subtitle" title="Decorative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shading that sit behind heading and subtitle" title="Decorative only"/>
                  <pic:cNvPicPr>
                    <a:picLocks noChangeAspect="1" noChangeArrowheads="1"/>
                  </pic:cNvPicPr>
                </pic:nvPicPr>
                <pic:blipFill rotWithShape="1">
                  <a:blip r:embed="rId1">
                    <a:extLst>
                      <a:ext uri="{28A0092B-C50C-407E-A947-70E740481C1C}">
                        <a14:useLocalDpi xmlns:a14="http://schemas.microsoft.com/office/drawing/2010/main" val="0"/>
                      </a:ext>
                    </a:extLst>
                  </a:blip>
                  <a:srcRect t="8210" b="8761"/>
                  <a:stretch/>
                </pic:blipFill>
                <pic:spPr bwMode="auto">
                  <a:xfrm>
                    <a:off x="0" y="0"/>
                    <a:ext cx="7832725" cy="2242820"/>
                  </a:xfrm>
                  <a:prstGeom prst="rect">
                    <a:avLst/>
                  </a:prstGeom>
                  <a:noFill/>
                  <a:ln>
                    <a:noFill/>
                  </a:ln>
                  <a:extLst>
                    <a:ext uri="{53640926-AAD7-44D8-BBD7-CCE9431645EC}">
                      <a14:shadowObscured xmlns:a14="http://schemas.microsoft.com/office/drawing/2010/main"/>
                    </a:ext>
                  </a:extLst>
                </pic:spPr>
              </pic:pic>
            </a:graphicData>
          </a:graphic>
        </wp:inline>
      </w:drawing>
    </w:r>
  </w:p>
  <w:p w:rsidR="001A11B8" w:rsidRDefault="001A11B8" w:rsidP="00F75815">
    <w:pPr>
      <w:pStyle w:val="Header"/>
      <w:spacing w:after="336"/>
      <w:ind w:left="-56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11B8" w:rsidRDefault="001A11B8" w:rsidP="00F75815">
    <w:pPr>
      <w:pStyle w:val="Header"/>
      <w:spacing w:after="336"/>
      <w:ind w:left="-561"/>
      <w:rPr>
        <w:noProof/>
      </w:rPr>
    </w:pPr>
  </w:p>
  <w:p w:rsidR="001A11B8" w:rsidRDefault="001A11B8" w:rsidP="00F75815">
    <w:pPr>
      <w:pStyle w:val="Header"/>
      <w:spacing w:after="336"/>
      <w:ind w:left="-5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153718"/>
    <w:multiLevelType w:val="hybridMultilevel"/>
    <w:tmpl w:val="0032F43C"/>
    <w:lvl w:ilvl="0" w:tplc="430EFCB0">
      <w:numFmt w:val="bullet"/>
      <w:pStyle w:val="BodyTextFirstIndent"/>
      <w:lvlText w:val="•"/>
      <w:lvlJc w:val="left"/>
      <w:pPr>
        <w:ind w:left="1080" w:hanging="720"/>
      </w:pPr>
      <w:rPr>
        <w:rFonts w:ascii="Gill Sans MT" w:eastAsia="Times New Roman" w:hAnsi="Gill Sans MT"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281B3F0F"/>
    <w:multiLevelType w:val="hybridMultilevel"/>
    <w:tmpl w:val="B5FC20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53E1368B"/>
    <w:multiLevelType w:val="hybridMultilevel"/>
    <w:tmpl w:val="79CC0FD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cryptProviderType="rsaFull" w:cryptAlgorithmClass="hash" w:cryptAlgorithmType="typeAny" w:cryptAlgorithmSid="4" w:cryptSpinCount="100000" w:hash="eMdiQ6gQvYUAG6jl4tmCGnGPXoA=" w:salt="qyk6LsI6R0yr7nGRZot1R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11B8"/>
    <w:rsid w:val="001A11B8"/>
    <w:rsid w:val="003F1626"/>
    <w:rsid w:val="004B325E"/>
    <w:rsid w:val="00514074"/>
    <w:rsid w:val="00771E78"/>
    <w:rsid w:val="00943035"/>
    <w:rsid w:val="00B45C4A"/>
    <w:rsid w:val="00B97A3F"/>
    <w:rsid w:val="00D6593F"/>
    <w:rsid w:val="00DB1831"/>
    <w:rsid w:val="00EF0F4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11B8"/>
    <w:pPr>
      <w:spacing w:after="140" w:line="300" w:lineRule="atLeast"/>
      <w:ind w:left="425" w:hanging="425"/>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1A11B8"/>
    <w:pPr>
      <w:tabs>
        <w:tab w:val="center" w:pos="4513"/>
        <w:tab w:val="right" w:pos="9026"/>
      </w:tabs>
    </w:pPr>
  </w:style>
  <w:style w:type="character" w:customStyle="1" w:styleId="HeaderChar">
    <w:name w:val="Header Char"/>
    <w:basedOn w:val="DefaultParagraphFont"/>
    <w:link w:val="Header"/>
    <w:rsid w:val="001A11B8"/>
    <w:rPr>
      <w:sz w:val="24"/>
      <w:szCs w:val="24"/>
    </w:rPr>
  </w:style>
  <w:style w:type="paragraph" w:styleId="Footer">
    <w:name w:val="footer"/>
    <w:basedOn w:val="Normal"/>
    <w:link w:val="FooterChar"/>
    <w:uiPriority w:val="99"/>
    <w:rsid w:val="001A11B8"/>
    <w:pPr>
      <w:tabs>
        <w:tab w:val="center" w:pos="4513"/>
        <w:tab w:val="right" w:pos="9026"/>
      </w:tabs>
    </w:pPr>
  </w:style>
  <w:style w:type="character" w:customStyle="1" w:styleId="FooterChar">
    <w:name w:val="Footer Char"/>
    <w:basedOn w:val="DefaultParagraphFont"/>
    <w:link w:val="Footer"/>
    <w:uiPriority w:val="99"/>
    <w:rsid w:val="001A11B8"/>
    <w:rPr>
      <w:sz w:val="24"/>
      <w:szCs w:val="24"/>
    </w:rPr>
  </w:style>
  <w:style w:type="paragraph" w:styleId="BalloonText">
    <w:name w:val="Balloon Text"/>
    <w:basedOn w:val="Normal"/>
    <w:link w:val="BalloonTextChar"/>
    <w:rsid w:val="001A11B8"/>
    <w:rPr>
      <w:rFonts w:ascii="Tahoma" w:hAnsi="Tahoma" w:cs="Tahoma"/>
      <w:sz w:val="16"/>
      <w:szCs w:val="16"/>
    </w:rPr>
  </w:style>
  <w:style w:type="character" w:customStyle="1" w:styleId="BalloonTextChar">
    <w:name w:val="Balloon Text Char"/>
    <w:basedOn w:val="DefaultParagraphFont"/>
    <w:link w:val="BalloonText"/>
    <w:rsid w:val="001A11B8"/>
    <w:rPr>
      <w:rFonts w:ascii="Tahoma" w:hAnsi="Tahoma" w:cs="Tahoma"/>
      <w:sz w:val="16"/>
      <w:szCs w:val="16"/>
    </w:rPr>
  </w:style>
  <w:style w:type="paragraph" w:customStyle="1" w:styleId="UnitName">
    <w:name w:val="Unit Name"/>
    <w:basedOn w:val="Normal"/>
    <w:rsid w:val="001A11B8"/>
    <w:pPr>
      <w:ind w:left="-1800"/>
    </w:pPr>
    <w:rPr>
      <w:rFonts w:ascii="Gill Sans MT" w:hAnsi="Gill Sans MT"/>
      <w:b/>
      <w:color w:val="FFFFFF"/>
      <w:sz w:val="28"/>
    </w:rPr>
  </w:style>
  <w:style w:type="paragraph" w:styleId="Title">
    <w:name w:val="Title"/>
    <w:basedOn w:val="Normal"/>
    <w:link w:val="TitleChar"/>
    <w:qFormat/>
    <w:rsid w:val="001A11B8"/>
    <w:pPr>
      <w:spacing w:before="240" w:after="60"/>
      <w:jc w:val="center"/>
      <w:outlineLvl w:val="0"/>
    </w:pPr>
    <w:rPr>
      <w:rFonts w:ascii="Gill Sans MT" w:hAnsi="Gill Sans MT" w:cs="Arial"/>
      <w:b/>
      <w:bCs/>
      <w:color w:val="FFFFFF"/>
      <w:kern w:val="28"/>
      <w:sz w:val="72"/>
      <w:szCs w:val="32"/>
    </w:rPr>
  </w:style>
  <w:style w:type="character" w:customStyle="1" w:styleId="TitleChar">
    <w:name w:val="Title Char"/>
    <w:basedOn w:val="DefaultParagraphFont"/>
    <w:link w:val="Title"/>
    <w:rsid w:val="001A11B8"/>
    <w:rPr>
      <w:rFonts w:ascii="Gill Sans MT" w:hAnsi="Gill Sans MT" w:cs="Arial"/>
      <w:b/>
      <w:bCs/>
      <w:color w:val="FFFFFF"/>
      <w:kern w:val="28"/>
      <w:sz w:val="72"/>
      <w:szCs w:val="32"/>
    </w:rPr>
  </w:style>
  <w:style w:type="paragraph" w:styleId="Subtitle">
    <w:name w:val="Subtitle"/>
    <w:basedOn w:val="Normal"/>
    <w:link w:val="SubtitleChar"/>
    <w:qFormat/>
    <w:rsid w:val="001A11B8"/>
    <w:pPr>
      <w:spacing w:after="60"/>
      <w:jc w:val="center"/>
      <w:outlineLvl w:val="1"/>
    </w:pPr>
    <w:rPr>
      <w:rFonts w:ascii="Gill Sans MT" w:hAnsi="Gill Sans MT" w:cs="Arial"/>
      <w:color w:val="FFFFFF"/>
      <w:sz w:val="48"/>
    </w:rPr>
  </w:style>
  <w:style w:type="character" w:customStyle="1" w:styleId="SubtitleChar">
    <w:name w:val="Subtitle Char"/>
    <w:basedOn w:val="DefaultParagraphFont"/>
    <w:link w:val="Subtitle"/>
    <w:rsid w:val="001A11B8"/>
    <w:rPr>
      <w:rFonts w:ascii="Gill Sans MT" w:hAnsi="Gill Sans MT" w:cs="Arial"/>
      <w:color w:val="FFFFFF"/>
      <w:sz w:val="48"/>
      <w:szCs w:val="24"/>
    </w:rPr>
  </w:style>
  <w:style w:type="paragraph" w:customStyle="1" w:styleId="Body">
    <w:name w:val="Body"/>
    <w:basedOn w:val="Normal"/>
    <w:autoRedefine/>
    <w:rsid w:val="001A11B8"/>
    <w:pPr>
      <w:autoSpaceDE w:val="0"/>
      <w:autoSpaceDN w:val="0"/>
      <w:adjustRightInd w:val="0"/>
      <w:spacing w:after="336"/>
      <w:ind w:left="360" w:firstLine="0"/>
      <w:textAlignment w:val="center"/>
    </w:pPr>
    <w:rPr>
      <w:rFonts w:ascii="Gill Sans MT" w:hAnsi="Gill Sans MT"/>
      <w:color w:val="000000"/>
      <w:sz w:val="22"/>
      <w:lang w:val="en-US"/>
    </w:rPr>
  </w:style>
  <w:style w:type="paragraph" w:customStyle="1" w:styleId="ContentHeading1">
    <w:name w:val="Content Heading 1"/>
    <w:basedOn w:val="Normal"/>
    <w:autoRedefine/>
    <w:rsid w:val="001A11B8"/>
    <w:pPr>
      <w:tabs>
        <w:tab w:val="left" w:pos="1843"/>
      </w:tabs>
      <w:autoSpaceDE w:val="0"/>
      <w:autoSpaceDN w:val="0"/>
      <w:adjustRightInd w:val="0"/>
      <w:spacing w:before="240" w:after="336" w:line="240" w:lineRule="exact"/>
      <w:ind w:left="0" w:right="357" w:firstLine="0"/>
      <w:textAlignment w:val="center"/>
    </w:pPr>
    <w:rPr>
      <w:rFonts w:ascii="Gill Sans MT" w:hAnsi="Gill Sans MT"/>
      <w:b/>
      <w:noProof/>
      <w:color w:val="000000"/>
      <w:sz w:val="40"/>
      <w:szCs w:val="40"/>
    </w:rPr>
  </w:style>
  <w:style w:type="character" w:styleId="Hyperlink">
    <w:name w:val="Hyperlink"/>
    <w:rsid w:val="001A11B8"/>
    <w:rPr>
      <w:color w:val="0000FF"/>
      <w:u w:val="single"/>
    </w:rPr>
  </w:style>
  <w:style w:type="paragraph" w:styleId="BodyText">
    <w:name w:val="Body Text"/>
    <w:basedOn w:val="Normal"/>
    <w:link w:val="BodyTextChar"/>
    <w:rsid w:val="001A11B8"/>
    <w:pPr>
      <w:spacing w:after="120"/>
    </w:pPr>
  </w:style>
  <w:style w:type="character" w:customStyle="1" w:styleId="BodyTextChar">
    <w:name w:val="Body Text Char"/>
    <w:basedOn w:val="DefaultParagraphFont"/>
    <w:link w:val="BodyText"/>
    <w:rsid w:val="001A11B8"/>
    <w:rPr>
      <w:sz w:val="24"/>
      <w:szCs w:val="24"/>
    </w:rPr>
  </w:style>
  <w:style w:type="paragraph" w:styleId="BodyTextFirstIndent">
    <w:name w:val="Body Text First Indent"/>
    <w:basedOn w:val="Body"/>
    <w:link w:val="BodyTextFirstIndentChar"/>
    <w:rsid w:val="001A11B8"/>
    <w:pPr>
      <w:numPr>
        <w:numId w:val="1"/>
      </w:numPr>
      <w:spacing w:after="140"/>
      <w:ind w:left="426" w:hanging="426"/>
    </w:pPr>
  </w:style>
  <w:style w:type="character" w:customStyle="1" w:styleId="BodyTextFirstIndentChar">
    <w:name w:val="Body Text First Indent Char"/>
    <w:basedOn w:val="BodyTextChar"/>
    <w:link w:val="BodyTextFirstIndent"/>
    <w:rsid w:val="001A11B8"/>
    <w:rPr>
      <w:rFonts w:ascii="Gill Sans MT" w:hAnsi="Gill Sans MT"/>
      <w:color w:val="000000"/>
      <w:sz w:val="22"/>
      <w:szCs w:val="24"/>
      <w:lang w:val="en-US"/>
    </w:rPr>
  </w:style>
  <w:style w:type="paragraph" w:styleId="ListParagraph">
    <w:name w:val="List Paragraph"/>
    <w:basedOn w:val="Normal"/>
    <w:uiPriority w:val="34"/>
    <w:qFormat/>
    <w:rsid w:val="001A11B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11B8"/>
    <w:pPr>
      <w:spacing w:after="140" w:line="300" w:lineRule="atLeast"/>
      <w:ind w:left="425" w:hanging="425"/>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1A11B8"/>
    <w:pPr>
      <w:tabs>
        <w:tab w:val="center" w:pos="4513"/>
        <w:tab w:val="right" w:pos="9026"/>
      </w:tabs>
    </w:pPr>
  </w:style>
  <w:style w:type="character" w:customStyle="1" w:styleId="HeaderChar">
    <w:name w:val="Header Char"/>
    <w:basedOn w:val="DefaultParagraphFont"/>
    <w:link w:val="Header"/>
    <w:rsid w:val="001A11B8"/>
    <w:rPr>
      <w:sz w:val="24"/>
      <w:szCs w:val="24"/>
    </w:rPr>
  </w:style>
  <w:style w:type="paragraph" w:styleId="Footer">
    <w:name w:val="footer"/>
    <w:basedOn w:val="Normal"/>
    <w:link w:val="FooterChar"/>
    <w:uiPriority w:val="99"/>
    <w:rsid w:val="001A11B8"/>
    <w:pPr>
      <w:tabs>
        <w:tab w:val="center" w:pos="4513"/>
        <w:tab w:val="right" w:pos="9026"/>
      </w:tabs>
    </w:pPr>
  </w:style>
  <w:style w:type="character" w:customStyle="1" w:styleId="FooterChar">
    <w:name w:val="Footer Char"/>
    <w:basedOn w:val="DefaultParagraphFont"/>
    <w:link w:val="Footer"/>
    <w:uiPriority w:val="99"/>
    <w:rsid w:val="001A11B8"/>
    <w:rPr>
      <w:sz w:val="24"/>
      <w:szCs w:val="24"/>
    </w:rPr>
  </w:style>
  <w:style w:type="paragraph" w:styleId="BalloonText">
    <w:name w:val="Balloon Text"/>
    <w:basedOn w:val="Normal"/>
    <w:link w:val="BalloonTextChar"/>
    <w:rsid w:val="001A11B8"/>
    <w:rPr>
      <w:rFonts w:ascii="Tahoma" w:hAnsi="Tahoma" w:cs="Tahoma"/>
      <w:sz w:val="16"/>
      <w:szCs w:val="16"/>
    </w:rPr>
  </w:style>
  <w:style w:type="character" w:customStyle="1" w:styleId="BalloonTextChar">
    <w:name w:val="Balloon Text Char"/>
    <w:basedOn w:val="DefaultParagraphFont"/>
    <w:link w:val="BalloonText"/>
    <w:rsid w:val="001A11B8"/>
    <w:rPr>
      <w:rFonts w:ascii="Tahoma" w:hAnsi="Tahoma" w:cs="Tahoma"/>
      <w:sz w:val="16"/>
      <w:szCs w:val="16"/>
    </w:rPr>
  </w:style>
  <w:style w:type="paragraph" w:customStyle="1" w:styleId="UnitName">
    <w:name w:val="Unit Name"/>
    <w:basedOn w:val="Normal"/>
    <w:rsid w:val="001A11B8"/>
    <w:pPr>
      <w:ind w:left="-1800"/>
    </w:pPr>
    <w:rPr>
      <w:rFonts w:ascii="Gill Sans MT" w:hAnsi="Gill Sans MT"/>
      <w:b/>
      <w:color w:val="FFFFFF"/>
      <w:sz w:val="28"/>
    </w:rPr>
  </w:style>
  <w:style w:type="paragraph" w:styleId="Title">
    <w:name w:val="Title"/>
    <w:basedOn w:val="Normal"/>
    <w:link w:val="TitleChar"/>
    <w:qFormat/>
    <w:rsid w:val="001A11B8"/>
    <w:pPr>
      <w:spacing w:before="240" w:after="60"/>
      <w:jc w:val="center"/>
      <w:outlineLvl w:val="0"/>
    </w:pPr>
    <w:rPr>
      <w:rFonts w:ascii="Gill Sans MT" w:hAnsi="Gill Sans MT" w:cs="Arial"/>
      <w:b/>
      <w:bCs/>
      <w:color w:val="FFFFFF"/>
      <w:kern w:val="28"/>
      <w:sz w:val="72"/>
      <w:szCs w:val="32"/>
    </w:rPr>
  </w:style>
  <w:style w:type="character" w:customStyle="1" w:styleId="TitleChar">
    <w:name w:val="Title Char"/>
    <w:basedOn w:val="DefaultParagraphFont"/>
    <w:link w:val="Title"/>
    <w:rsid w:val="001A11B8"/>
    <w:rPr>
      <w:rFonts w:ascii="Gill Sans MT" w:hAnsi="Gill Sans MT" w:cs="Arial"/>
      <w:b/>
      <w:bCs/>
      <w:color w:val="FFFFFF"/>
      <w:kern w:val="28"/>
      <w:sz w:val="72"/>
      <w:szCs w:val="32"/>
    </w:rPr>
  </w:style>
  <w:style w:type="paragraph" w:styleId="Subtitle">
    <w:name w:val="Subtitle"/>
    <w:basedOn w:val="Normal"/>
    <w:link w:val="SubtitleChar"/>
    <w:qFormat/>
    <w:rsid w:val="001A11B8"/>
    <w:pPr>
      <w:spacing w:after="60"/>
      <w:jc w:val="center"/>
      <w:outlineLvl w:val="1"/>
    </w:pPr>
    <w:rPr>
      <w:rFonts w:ascii="Gill Sans MT" w:hAnsi="Gill Sans MT" w:cs="Arial"/>
      <w:color w:val="FFFFFF"/>
      <w:sz w:val="48"/>
    </w:rPr>
  </w:style>
  <w:style w:type="character" w:customStyle="1" w:styleId="SubtitleChar">
    <w:name w:val="Subtitle Char"/>
    <w:basedOn w:val="DefaultParagraphFont"/>
    <w:link w:val="Subtitle"/>
    <w:rsid w:val="001A11B8"/>
    <w:rPr>
      <w:rFonts w:ascii="Gill Sans MT" w:hAnsi="Gill Sans MT" w:cs="Arial"/>
      <w:color w:val="FFFFFF"/>
      <w:sz w:val="48"/>
      <w:szCs w:val="24"/>
    </w:rPr>
  </w:style>
  <w:style w:type="paragraph" w:customStyle="1" w:styleId="Body">
    <w:name w:val="Body"/>
    <w:basedOn w:val="Normal"/>
    <w:autoRedefine/>
    <w:rsid w:val="001A11B8"/>
    <w:pPr>
      <w:autoSpaceDE w:val="0"/>
      <w:autoSpaceDN w:val="0"/>
      <w:adjustRightInd w:val="0"/>
      <w:spacing w:after="336"/>
      <w:ind w:left="360" w:firstLine="0"/>
      <w:textAlignment w:val="center"/>
    </w:pPr>
    <w:rPr>
      <w:rFonts w:ascii="Gill Sans MT" w:hAnsi="Gill Sans MT"/>
      <w:color w:val="000000"/>
      <w:sz w:val="22"/>
      <w:lang w:val="en-US"/>
    </w:rPr>
  </w:style>
  <w:style w:type="paragraph" w:customStyle="1" w:styleId="ContentHeading1">
    <w:name w:val="Content Heading 1"/>
    <w:basedOn w:val="Normal"/>
    <w:autoRedefine/>
    <w:rsid w:val="001A11B8"/>
    <w:pPr>
      <w:tabs>
        <w:tab w:val="left" w:pos="1843"/>
      </w:tabs>
      <w:autoSpaceDE w:val="0"/>
      <w:autoSpaceDN w:val="0"/>
      <w:adjustRightInd w:val="0"/>
      <w:spacing w:before="240" w:after="336" w:line="240" w:lineRule="exact"/>
      <w:ind w:left="0" w:right="357" w:firstLine="0"/>
      <w:textAlignment w:val="center"/>
    </w:pPr>
    <w:rPr>
      <w:rFonts w:ascii="Gill Sans MT" w:hAnsi="Gill Sans MT"/>
      <w:b/>
      <w:noProof/>
      <w:color w:val="000000"/>
      <w:sz w:val="40"/>
      <w:szCs w:val="40"/>
    </w:rPr>
  </w:style>
  <w:style w:type="character" w:styleId="Hyperlink">
    <w:name w:val="Hyperlink"/>
    <w:rsid w:val="001A11B8"/>
    <w:rPr>
      <w:color w:val="0000FF"/>
      <w:u w:val="single"/>
    </w:rPr>
  </w:style>
  <w:style w:type="paragraph" w:styleId="BodyText">
    <w:name w:val="Body Text"/>
    <w:basedOn w:val="Normal"/>
    <w:link w:val="BodyTextChar"/>
    <w:rsid w:val="001A11B8"/>
    <w:pPr>
      <w:spacing w:after="120"/>
    </w:pPr>
  </w:style>
  <w:style w:type="character" w:customStyle="1" w:styleId="BodyTextChar">
    <w:name w:val="Body Text Char"/>
    <w:basedOn w:val="DefaultParagraphFont"/>
    <w:link w:val="BodyText"/>
    <w:rsid w:val="001A11B8"/>
    <w:rPr>
      <w:sz w:val="24"/>
      <w:szCs w:val="24"/>
    </w:rPr>
  </w:style>
  <w:style w:type="paragraph" w:styleId="BodyTextFirstIndent">
    <w:name w:val="Body Text First Indent"/>
    <w:basedOn w:val="Body"/>
    <w:link w:val="BodyTextFirstIndentChar"/>
    <w:rsid w:val="001A11B8"/>
    <w:pPr>
      <w:numPr>
        <w:numId w:val="1"/>
      </w:numPr>
      <w:spacing w:after="140"/>
      <w:ind w:left="426" w:hanging="426"/>
    </w:pPr>
  </w:style>
  <w:style w:type="character" w:customStyle="1" w:styleId="BodyTextFirstIndentChar">
    <w:name w:val="Body Text First Indent Char"/>
    <w:basedOn w:val="BodyTextChar"/>
    <w:link w:val="BodyTextFirstIndent"/>
    <w:rsid w:val="001A11B8"/>
    <w:rPr>
      <w:rFonts w:ascii="Gill Sans MT" w:hAnsi="Gill Sans MT"/>
      <w:color w:val="000000"/>
      <w:sz w:val="22"/>
      <w:szCs w:val="24"/>
      <w:lang w:val="en-US"/>
    </w:rPr>
  </w:style>
  <w:style w:type="paragraph" w:styleId="ListParagraph">
    <w:name w:val="List Paragraph"/>
    <w:basedOn w:val="Normal"/>
    <w:uiPriority w:val="34"/>
    <w:qFormat/>
    <w:rsid w:val="001A11B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racgp.org.au/your-practice/guidelines/redbook/9-early-detection-of-cancers/92-colorectal-cancer/" TargetMode="External"/><Relationship Id="rId10" Type="http://schemas.openxmlformats.org/officeDocument/2006/relationships/footer" Target="footer1.xml"/><Relationship Id="rId19" Type="http://schemas.openxmlformats.org/officeDocument/2006/relationships/hyperlink" Target="mailto:alyce.francis@ths.tas.gov.au"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86BE06FE.dotm</Template>
  <TotalTime>9</TotalTime>
  <Pages>2</Pages>
  <Words>440</Words>
  <Characters>2654</Characters>
  <Application>Microsoft Office Word</Application>
  <DocSecurity>8</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DHHS</Company>
  <LinksUpToDate>false</LinksUpToDate>
  <CharactersWithSpaces>3088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Radivojevic, Tracey L</dc:creator>
  <cp:lastModifiedBy>Radivojevic, Tracey L</cp:lastModifiedBy>
  <cp:revision>3</cp:revision>
  <dcterms:created xsi:type="dcterms:W3CDTF">2017-05-19T06:20:00Z</dcterms:created>
  <dcterms:modified xsi:type="dcterms:W3CDTF">2017-05-19T06:31:00Z</dcterms:modified>
</cp:coreProperties>
</file>